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708" w:leader="none"/>
        </w:tabs>
        <w:rPr>
          <w:rFonts w:cs="Arial" w:ascii="Arial" w:hAnsi="Arial"/>
          <w:b/>
          <w:i/>
          <w:sz w:val="20"/>
          <w:szCs w:val="20"/>
          <w:u w:val="single"/>
        </w:rPr>
      </w:pPr>
      <w:r>
        <w:rPr>
          <w:rFonts w:cs="Arial" w:ascii="Arial" w:hAnsi="Arial"/>
          <w:b/>
          <w:i/>
          <w:sz w:val="20"/>
          <w:szCs w:val="20"/>
          <w:u w:val="single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UMOWA</w:t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Nr </w:t>
      </w:r>
      <w:r>
        <w:rPr>
          <w:rFonts w:cs="Arial" w:ascii="Arial" w:hAnsi="Arial"/>
          <w:sz w:val="20"/>
          <w:szCs w:val="20"/>
        </w:rPr>
        <w:t xml:space="preserve"> .......</w:t>
      </w:r>
      <w:r>
        <w:rPr>
          <w:rFonts w:cs="Arial" w:ascii="Arial" w:hAnsi="Arial"/>
          <w:b/>
          <w:sz w:val="20"/>
          <w:szCs w:val="20"/>
        </w:rPr>
        <w:t xml:space="preserve">  </w:t>
      </w:r>
      <w:bookmarkStart w:id="0" w:name="__DdeLink__274_980812199"/>
      <w:r>
        <w:rPr>
          <w:rFonts w:cs="Arial" w:ascii="Arial" w:hAnsi="Arial"/>
          <w:b/>
          <w:sz w:val="20"/>
          <w:szCs w:val="20"/>
        </w:rPr>
        <w:t>/</w:t>
      </w:r>
      <w:bookmarkEnd w:id="0"/>
      <w:r>
        <w:rPr>
          <w:rFonts w:cs="Arial" w:ascii="Arial" w:hAnsi="Arial"/>
          <w:b/>
          <w:bCs/>
          <w:sz w:val="20"/>
          <w:szCs w:val="20"/>
        </w:rPr>
        <w:t>ZT-SZP-226/01/40p/2018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zawarta w Łomży w dniu </w:t>
      </w:r>
      <w:r>
        <w:rPr>
          <w:rFonts w:cs="Arial" w:ascii="Arial" w:hAnsi="Arial"/>
          <w:b/>
          <w:bCs/>
          <w:sz w:val="20"/>
          <w:szCs w:val="20"/>
        </w:rPr>
        <w:t>..................... 2019  r.</w:t>
      </w:r>
      <w:r>
        <w:rPr>
          <w:rFonts w:cs="Arial" w:ascii="Arial" w:hAnsi="Arial"/>
          <w:sz w:val="20"/>
          <w:szCs w:val="20"/>
        </w:rPr>
        <w:t xml:space="preserve"> pomiędzy :</w:t>
      </w:r>
    </w:p>
    <w:p>
      <w:pPr>
        <w:pStyle w:val="Normal"/>
        <w:jc w:val="both"/>
        <w:textAlignment w:val="baseline"/>
        <w:rPr>
          <w:rFonts w:eastAsia="Times New Roman" w:cs="Arial" w:ascii="Arial" w:hAnsi="Arial"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jc w:val="both"/>
        <w:textAlignment w:val="baseline"/>
        <w:rPr>
          <w:rFonts w:eastAsia="Times New Roman" w:cs="Arial" w:ascii="Arial" w:hAnsi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Samodzielnym Publicznym Zakładem Opieki Zdrowotnej – Szpitalem Wojewódzkim im. Kardynała Stefana Wyszyńskiego w Łomży,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>wpisanym do rejestru stowarzyszeń, innych organizacji społecznych i zawodowych, fundacji oraz samodzielnych publicznych zakładów opieki zdrowotnej prowadzonego przez Sąd Rejonowy w Białymstoku XII Wydział Gospodarczy KRS pod nr 0000024716, NIP 718-16-89-321, REGON 450665024, reprezentowanym przez:</w:t>
      </w:r>
    </w:p>
    <w:p>
      <w:pPr>
        <w:pStyle w:val="Normal"/>
        <w:jc w:val="both"/>
        <w:textAlignment w:val="baseline"/>
        <w:rPr>
          <w:rFonts w:eastAsia="Times New Roman" w:cs="Arial" w:ascii="Arial" w:hAnsi="Arial"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textAlignment w:val="baseline"/>
        <w:rPr>
          <w:rFonts w:eastAsia="Times New Roman" w:cs="Arial" w:ascii="Arial" w:hAnsi="Arial"/>
          <w:bCs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Romana Eugeniusza Nojszewskiego – Dyrektora </w:t>
      </w:r>
      <w:r>
        <w:rPr>
          <w:rFonts w:eastAsia="Times New Roman" w:cs="Arial" w:ascii="Arial" w:hAnsi="Arial"/>
          <w:bCs/>
          <w:i/>
          <w:sz w:val="20"/>
          <w:szCs w:val="20"/>
          <w:lang w:eastAsia="pl-PL"/>
        </w:rPr>
        <w:t>(odpis KRS stanowi załącznik nr 5 do Umowy)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b/>
          <w:bCs/>
          <w:i/>
          <w:i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zwanym dalej </w:t>
      </w:r>
      <w:r>
        <w:rPr>
          <w:rFonts w:cs="Arial" w:ascii="Arial" w:hAnsi="Arial"/>
          <w:b/>
          <w:bCs/>
          <w:i/>
          <w:iCs/>
          <w:sz w:val="20"/>
          <w:szCs w:val="20"/>
        </w:rPr>
        <w:t>Kupującym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reprezentowanym przez: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</w:t>
      </w:r>
    </w:p>
    <w:p>
      <w:pPr>
        <w:pStyle w:val="Normal"/>
        <w:textAlignment w:val="baseline"/>
        <w:rPr>
          <w:rFonts w:eastAsia="Times New Roman" w:cs="Arial" w:ascii="Arial" w:hAnsi="Arial"/>
          <w:bCs/>
          <w:i/>
          <w:sz w:val="20"/>
          <w:szCs w:val="20"/>
          <w:lang w:eastAsia="pl-PL"/>
        </w:rPr>
      </w:pPr>
      <w:r>
        <w:rPr>
          <w:rFonts w:cs="Arial" w:ascii="Arial" w:hAnsi="Arial"/>
          <w:sz w:val="20"/>
          <w:szCs w:val="20"/>
        </w:rPr>
        <w:t xml:space="preserve">zwanym dalej </w:t>
      </w:r>
      <w:r>
        <w:rPr>
          <w:rFonts w:cs="Arial" w:ascii="Arial" w:hAnsi="Arial"/>
          <w:b/>
          <w:bCs/>
          <w:i/>
          <w:iCs/>
          <w:sz w:val="20"/>
          <w:szCs w:val="20"/>
        </w:rPr>
        <w:t xml:space="preserve">Sprzedawcą </w:t>
      </w:r>
      <w:r>
        <w:rPr>
          <w:rFonts w:eastAsia="Times New Roman" w:cs="Arial" w:ascii="Arial" w:hAnsi="Arial"/>
          <w:bCs/>
          <w:i/>
          <w:sz w:val="20"/>
          <w:szCs w:val="20"/>
          <w:lang w:eastAsia="pl-PL"/>
        </w:rPr>
        <w:t>(potwierdzenie umocowania do zawarcia Umowy stanowi załącznik nr 6 do Umowy)</w:t>
      </w:r>
    </w:p>
    <w:p>
      <w:pPr>
        <w:pStyle w:val="Normal"/>
        <w:textAlignment w:val="baseline"/>
        <w:rPr>
          <w:rFonts w:eastAsia="Times New Roman" w:cs="Arial" w:ascii="Arial" w:hAnsi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</w:r>
    </w:p>
    <w:p>
      <w:pPr>
        <w:pStyle w:val="Normal"/>
        <w:textAlignment w:val="baseline"/>
        <w:rPr>
          <w:rFonts w:eastAsia="Times New Roman" w:cs="Arial" w:ascii="Arial" w:hAnsi="Arial"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zwanymi dalej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 xml:space="preserve">Stronami </w:t>
      </w:r>
      <w:r>
        <w:rPr>
          <w:rFonts w:eastAsia="Times New Roman" w:cs="Arial" w:ascii="Arial" w:hAnsi="Arial"/>
          <w:bCs/>
          <w:sz w:val="20"/>
          <w:szCs w:val="20"/>
          <w:lang w:eastAsia="pl-PL"/>
        </w:rPr>
        <w:t xml:space="preserve">lub </w:t>
      </w: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  <w:t>Stroną</w:t>
      </w:r>
    </w:p>
    <w:p>
      <w:pPr>
        <w:pStyle w:val="Normal"/>
        <w:textAlignment w:val="baseline"/>
        <w:rPr>
          <w:rFonts w:eastAsia="Times New Roman" w:cs="Arial" w:ascii="Arial" w:hAnsi="Arial"/>
          <w:b/>
          <w:bCs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i/>
          <w:sz w:val="20"/>
          <w:szCs w:val="20"/>
          <w:lang w:eastAsia="pl-PL"/>
        </w:rPr>
      </w:r>
    </w:p>
    <w:p>
      <w:pPr>
        <w:pStyle w:val="Normal"/>
        <w:textAlignment w:val="baseline"/>
        <w:rPr>
          <w:rFonts w:eastAsia="Times New Roman" w:cs="Arial" w:ascii="Arial" w:hAnsi="Arial"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Cs/>
          <w:sz w:val="20"/>
          <w:szCs w:val="20"/>
          <w:lang w:eastAsia="pl-PL"/>
        </w:rPr>
        <w:t>o następującej treści: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widowControl/>
        <w:suppressAutoHyphens w:val="false"/>
        <w:jc w:val="both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Zawarcie Umowy następuje w wyniku wyboru jako najkorzystniejszej oferty Sprzedawcy złożonej </w:t>
        <w:br/>
        <w:t xml:space="preserve">w </w:t>
      </w:r>
      <w:r>
        <w:rPr>
          <w:rFonts w:cs="Arial" w:ascii="Arial" w:hAnsi="Arial"/>
          <w:b/>
          <w:bCs/>
          <w:sz w:val="20"/>
          <w:szCs w:val="20"/>
        </w:rPr>
        <w:t xml:space="preserve">PAKIECIE …… </w:t>
      </w:r>
      <w:r>
        <w:rPr>
          <w:rFonts w:cs="Arial" w:ascii="Arial" w:hAnsi="Arial"/>
          <w:bCs/>
          <w:sz w:val="20"/>
          <w:szCs w:val="20"/>
        </w:rPr>
        <w:t>w</w:t>
      </w:r>
      <w:r>
        <w:rPr>
          <w:rFonts w:eastAsia="Times New Roman" w:cs="Arial" w:ascii="Arial" w:hAnsi="Arial"/>
          <w:sz w:val="20"/>
          <w:szCs w:val="20"/>
          <w:lang w:bidi="ar-SA"/>
        </w:rPr>
        <w:t xml:space="preserve"> wyniku przeprowadzonego postępowania o udzielenie zamówienia publicznego w trybie przetargu nieograniczonego pn. </w:t>
      </w:r>
      <w:r>
        <w:rPr>
          <w:rFonts w:cs="Arial" w:ascii="Arial" w:hAnsi="Arial"/>
          <w:b/>
          <w:bCs/>
          <w:i/>
          <w:sz w:val="20"/>
          <w:szCs w:val="20"/>
        </w:rPr>
        <w:t>Z</w:t>
      </w:r>
      <w:r>
        <w:rPr>
          <w:rFonts w:eastAsia="Lucida Sans Unicode" w:cs="Times New Roman" w:ascii="Arial" w:hAnsi="Arial"/>
          <w:b/>
          <w:bCs/>
          <w:sz w:val="20"/>
          <w:szCs w:val="20"/>
          <w:shd w:fill="FFFFFF" w:val="clear"/>
          <w:lang w:eastAsia="pl-PL"/>
        </w:rPr>
        <w:t>akup i dostawa leków i wyrobów medycznych do Apteki Ogólnodostępnej w Szpitalu Wojewódzkim im. Kardynała Stefana Wyszyńskiego w Łomży,</w:t>
      </w:r>
      <w:r>
        <w:rPr>
          <w:rFonts w:cs="Arial" w:ascii="Arial" w:hAnsi="Arial"/>
          <w:b/>
          <w:bCs/>
          <w:i/>
          <w:sz w:val="20"/>
          <w:szCs w:val="20"/>
        </w:rPr>
        <w:t xml:space="preserve"> </w:t>
      </w:r>
      <w:r>
        <w:rPr>
          <w:rFonts w:cs="Arial" w:ascii="Arial" w:hAnsi="Arial"/>
          <w:b/>
          <w:bCs/>
          <w:sz w:val="20"/>
          <w:szCs w:val="20"/>
        </w:rPr>
        <w:t>nr postępowania: ZT-SZP-226/01/40p/2018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8" w:leader="none"/>
        </w:tabs>
        <w:rPr>
          <w:rFonts w:cs="Arial" w:ascii="Arial" w:hAnsi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  <w:t>§ 1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Przedmiotem niniejszej Umowy jest</w:t>
      </w:r>
      <w:r>
        <w:rPr>
          <w:rFonts w:cs="Arial" w:ascii="Arial" w:hAnsi="Arial"/>
          <w:b/>
          <w:bCs/>
          <w:sz w:val="20"/>
          <w:szCs w:val="20"/>
        </w:rPr>
        <w:t xml:space="preserve"> sukcesywna </w:t>
      </w:r>
      <w:r>
        <w:rPr>
          <w:rFonts w:eastAsia="Times New Roman" w:cs="Arial" w:ascii="Arial" w:hAnsi="Arial"/>
          <w:b/>
          <w:sz w:val="20"/>
          <w:szCs w:val="20"/>
          <w:lang w:bidi="ar-SA"/>
        </w:rPr>
        <w:t xml:space="preserve">sprzedaż leków, suplementów diety ,kosmetyków,środków opatrunkowych, produktów do żywienia medycznego…. </w:t>
      </w:r>
      <w:r>
        <w:rPr>
          <w:rFonts w:cs="Arial" w:ascii="Arial" w:hAnsi="Arial"/>
          <w:b/>
          <w:bCs/>
          <w:sz w:val="20"/>
          <w:szCs w:val="20"/>
        </w:rPr>
        <w:t xml:space="preserve">(dalej również: Asortyment), </w:t>
      </w:r>
      <w:r>
        <w:rPr>
          <w:rFonts w:cs="Arial" w:ascii="Arial" w:hAnsi="Arial"/>
          <w:b/>
          <w:sz w:val="20"/>
          <w:szCs w:val="20"/>
          <w:lang w:eastAsia="pl-PL"/>
        </w:rPr>
        <w:t>dla Szpitala Wojewódzkiego w Łomży, przeznaczonych do dalszej odsprzedaży w Aptece Ogólnodostępnej,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zgodnie z Załącznikiem nr 1 do Umowy (Załącznik ten jest odpowiednikiem Załącznika nr 5 do SIWZ), ofertą Wykonawcy (załącznik nr 2 do Umowy) oraz Opisem Przedmiotu Zamówienia (Załącznik nr 3 do Umowy).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right="0" w:hanging="360"/>
        <w:jc w:val="both"/>
        <w:textAlignment w:val="baseline"/>
        <w:rPr>
          <w:rFonts w:eastAsia="Arial" w:cs="Arial" w:ascii="Arial" w:hAnsi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Asortyment musi być zgodny z treścią oferty, a Sprzedawca nie jest uprawniony do samodzielnej zmiany Asortymentu, w tym zmiany jego producenta, jakie zostały wskazane w złożonej przez Sprzedawcę ofercie. 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right="0" w:hanging="360"/>
        <w:jc w:val="both"/>
        <w:textAlignment w:val="baseline"/>
        <w:rPr>
          <w:rFonts w:eastAsia="Arial" w:cs="Arial" w:ascii="Arial" w:hAnsi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 xml:space="preserve">Termin ważności Asortymentu nie może być krótszy niż …… miesięcy (zgodnie z ofertą Sprzedawcy). 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right="0" w:hanging="360"/>
        <w:jc w:val="both"/>
        <w:textAlignment w:val="baseline"/>
        <w:rPr>
          <w:rFonts w:eastAsia="Arial" w:cs="Arial" w:ascii="Arial" w:hAnsi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Sprzedawca oświadcza, że Asortyment jest dopuszczony do obrotu i używania na terenie Rzeczypospolitej Polskiej zgodnie z obowiązującymi przepisami prawa.</w:t>
      </w:r>
    </w:p>
    <w:p>
      <w:pPr>
        <w:pStyle w:val="Normal"/>
        <w:widowControl/>
        <w:numPr>
          <w:ilvl w:val="0"/>
          <w:numId w:val="1"/>
        </w:numPr>
        <w:suppressAutoHyphens w:val="false"/>
        <w:ind w:left="426" w:right="0" w:hanging="360"/>
        <w:jc w:val="both"/>
        <w:textAlignment w:val="baseline"/>
        <w:rPr>
          <w:rFonts w:eastAsia="Arial" w:cs="Arial" w:ascii="Arial" w:hAnsi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  <w:t>Sprzedawca oświadcza, że zaoferowany Asortyment wskazany w Załączniku nr 1 do Umowy, spełnia wszelki wymagania jakościowe i technologiczne przewidziane dla produktów tego rodzaju, odpowiada wszelkim właściwym polskim i międzynarodowym normom i udziela na Asortyment gwarancji, nie krótszej niż gwarancja producenta.</w:t>
      </w:r>
    </w:p>
    <w:p>
      <w:pPr>
        <w:pStyle w:val="Normal"/>
        <w:widowControl/>
        <w:suppressAutoHyphens w:val="false"/>
        <w:jc w:val="both"/>
        <w:textAlignment w:val="baseline"/>
        <w:rPr>
          <w:rFonts w:eastAsia="Arial" w:cs="Arial" w:ascii="Arial" w:hAnsi="Arial"/>
          <w:bCs/>
          <w:sz w:val="20"/>
          <w:szCs w:val="20"/>
        </w:rPr>
      </w:pPr>
      <w:r>
        <w:rPr>
          <w:rFonts w:eastAsia="Arial" w:cs="Arial" w:ascii="Arial" w:hAnsi="Arial"/>
          <w:bCs/>
          <w:sz w:val="20"/>
          <w:szCs w:val="20"/>
        </w:rPr>
      </w:r>
    </w:p>
    <w:p>
      <w:pPr>
        <w:pStyle w:val="Normal"/>
        <w:ind w:left="567" w:right="0" w:hanging="567"/>
        <w:rPr>
          <w:rFonts w:eastAsia="Arial" w:cs="Arial" w:ascii="Arial" w:hAnsi="Arial"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ind w:left="567" w:right="0" w:hanging="567"/>
        <w:jc w:val="center"/>
        <w:rPr>
          <w:rFonts w:cs="Arial" w:ascii="Arial" w:hAnsi="Arial"/>
          <w:b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§ 2</w:t>
      </w:r>
    </w:p>
    <w:p>
      <w:pPr>
        <w:pStyle w:val="Normal"/>
        <w:numPr>
          <w:ilvl w:val="0"/>
          <w:numId w:val="2"/>
        </w:numPr>
        <w:ind w:left="426" w:right="0" w:hanging="36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Asortyment sprzedawany będzie w określonych partiach, których wielkość oraz ilość, a także typ Asortymentu, zostaną uzgodnione przez Strony w trakcie realizacji Umowy. O wielkości i ilości partii Asortymentu decydować będą potrzeby Kupującego. </w:t>
      </w:r>
    </w:p>
    <w:p>
      <w:pPr>
        <w:pStyle w:val="Normal"/>
        <w:numPr>
          <w:ilvl w:val="0"/>
          <w:numId w:val="2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zobowiązuje się do sprzedaży określonych partii Asortymentu, zgodnie z zamówieniami, które składać będą osoby wyznaczone przez Kupującego do realizacji Umowy, o których mowa w § 10 ust. 1 Umowy (realizacja zamówienia określonej partii Asortymentu). </w:t>
      </w:r>
    </w:p>
    <w:p>
      <w:pPr>
        <w:pStyle w:val="ListParagraph"/>
        <w:numPr>
          <w:ilvl w:val="0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Zamówienia składane będą (zgodnie z ofertą Wykonawcy) w formie:</w:t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Elektronicznej, za pośrednictwem internetowego modemu KS – EWD, </w:t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formie dokumentowej pod postacią wiadomości e-mail pod adresami:</w:t>
      </w:r>
    </w:p>
    <w:p>
      <w:pPr>
        <w:pStyle w:val="ListParagraph"/>
        <w:numPr>
          <w:ilvl w:val="2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Sprzedawca: …………..</w:t>
      </w:r>
    </w:p>
    <w:p>
      <w:pPr>
        <w:pStyle w:val="ListParagraph"/>
        <w:numPr>
          <w:ilvl w:val="2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Kupujący: apteka_otwarta@szpital-lomza.pl…………………., </w:t>
      </w:r>
    </w:p>
    <w:p>
      <w:pPr>
        <w:pStyle w:val="Normal"/>
        <w:ind w:left="198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Zamówienia składane będą w godzinach od 8:00 do 22:00. </w:t>
      </w:r>
    </w:p>
    <w:p>
      <w:pPr>
        <w:pStyle w:val="Normal"/>
        <w:numPr>
          <w:ilvl w:val="0"/>
          <w:numId w:val="2"/>
        </w:numPr>
        <w:ind w:left="426" w:right="0" w:hanging="360"/>
        <w:jc w:val="both"/>
        <w:rPr>
          <w:rFonts w:eastAsia="Lucida Sans Unicode" w:cs="Arial" w:ascii="Arial" w:hAnsi="Arial"/>
          <w:bCs/>
          <w:i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Realizując zamówienia określonych partii Asortymentu, Sprzedawca zobowiązuje się przesyłać zamówione partie Asortymentu w odpowiednim opakowaniu, za pośrednictwem przewoźnika zapewniającego należyte zabezpieczenie Asortymentu przed czynnikami pogodowymi, uszkodzeniami itp., do </w:t>
      </w:r>
      <w:r>
        <w:rPr>
          <w:rFonts w:cs="Arial" w:ascii="Arial" w:hAnsi="Arial"/>
          <w:bCs/>
          <w:sz w:val="20"/>
          <w:szCs w:val="20"/>
        </w:rPr>
        <w:t xml:space="preserve">Apteki Ogólnodostępnej Szpitala </w:t>
      </w:r>
      <w:r>
        <w:rPr>
          <w:rFonts w:eastAsia="Lucida Sans Unicode" w:cs="Arial" w:ascii="Arial" w:hAnsi="Arial"/>
          <w:bCs/>
          <w:iCs/>
          <w:sz w:val="20"/>
          <w:szCs w:val="20"/>
        </w:rPr>
        <w:t xml:space="preserve">Wojewódzkiego w Łomży, Al. Piłsudskiego 11. Za przewoźnika Strony rozumieją zasoby własne Sprzedawcy, jak i podmioty trzecie. </w:t>
      </w:r>
    </w:p>
    <w:p>
      <w:pPr>
        <w:pStyle w:val="Normal"/>
        <w:numPr>
          <w:ilvl w:val="0"/>
          <w:numId w:val="2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Strony ustalają, że miejscem spełnienia świadczenia będzie siedziba Kupującego.</w:t>
      </w:r>
    </w:p>
    <w:p>
      <w:pPr>
        <w:pStyle w:val="Normal"/>
        <w:numPr>
          <w:ilvl w:val="0"/>
          <w:numId w:val="2"/>
        </w:numPr>
        <w:ind w:left="426" w:right="0" w:hanging="360"/>
        <w:jc w:val="both"/>
        <w:rPr>
          <w:rFonts w:eastAsia="Lucida Sans Unicode" w:cs="Arial" w:ascii="Arial" w:hAnsi="Arial"/>
          <w:bCs/>
          <w:iCs/>
          <w:sz w:val="20"/>
          <w:szCs w:val="20"/>
        </w:rPr>
      </w:pPr>
      <w:r>
        <w:rPr>
          <w:rFonts w:eastAsia="Lucida Sans Unicode" w:cs="Arial" w:ascii="Arial" w:hAnsi="Arial"/>
          <w:bCs/>
          <w:iCs/>
          <w:sz w:val="20"/>
          <w:szCs w:val="20"/>
        </w:rPr>
        <w:t xml:space="preserve">Strony ustalają, że wydanie rzeczy nastąpi w momencie doręczenia partii Asortymentu do miejsca, o którym mowa w ust. 3. </w:t>
      </w:r>
    </w:p>
    <w:p>
      <w:pPr>
        <w:pStyle w:val="Normal"/>
        <w:numPr>
          <w:ilvl w:val="0"/>
          <w:numId w:val="2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Realizacja zamówienia określonej partii Asortymentu następować będzie w następujący sposób:</w:t>
      </w:r>
    </w:p>
    <w:p>
      <w:pPr>
        <w:pStyle w:val="Normal"/>
        <w:ind w:left="426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Strony ustalają stałe terminy dostaw od poniedziałku do piątku:</w:t>
      </w:r>
    </w:p>
    <w:p>
      <w:pPr>
        <w:pStyle w:val="ListParagraph"/>
        <w:numPr>
          <w:ilvl w:val="0"/>
          <w:numId w:val="13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dostawa nr 1 – godzina 8:00 – 8:15</w:t>
      </w:r>
    </w:p>
    <w:p>
      <w:pPr>
        <w:pStyle w:val="ListParagraph"/>
        <w:numPr>
          <w:ilvl w:val="0"/>
          <w:numId w:val="13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dostawa nr 2 – godzina 11:30 – 11:45</w:t>
      </w:r>
    </w:p>
    <w:p>
      <w:pPr>
        <w:pStyle w:val="ListParagraph"/>
        <w:numPr>
          <w:ilvl w:val="0"/>
          <w:numId w:val="13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dostawa nr 3 – godzina 14:30 – 14:45</w:t>
      </w:r>
    </w:p>
    <w:p>
      <w:pPr>
        <w:pStyle w:val="ListParagraph"/>
        <w:numPr>
          <w:ilvl w:val="0"/>
          <w:numId w:val="13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dostawa nr 4 – godzina 16:00 – 16.15</w:t>
      </w:r>
    </w:p>
    <w:p>
      <w:pPr>
        <w:pStyle w:val="ListParagraph"/>
        <w:numPr>
          <w:ilvl w:val="0"/>
          <w:numId w:val="1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Jeśli osoby, o których mowa w ust. 2 złożą zamówienie najpóźniej 45 minut przed jednym z określonych w lit. a) terminów dostaw, Kupujący zobowiązany jest dostarczyć określoną partię Asortymentu w tym terminie (termin realizacji zamówienia określonej partii Asortymentu),</w:t>
      </w:r>
    </w:p>
    <w:p>
      <w:pPr>
        <w:pStyle w:val="ListParagraph"/>
        <w:numPr>
          <w:ilvl w:val="0"/>
          <w:numId w:val="1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Jeśli osoby, o których mowa w ust. 2 złożą zamówienie później niż 45 minut przed jednym z określonych w lit. a) terminów dostaw, Kupujący zobowiązany jest dostarczyć określoną partię Asortymentu w kolejnym najbliższym terminie dostaw (termin realizacji zamówienia określonej partii Asortymentu). Postanowienie to stosuje się odpowiednio dla zamówień złożonych w soboty i w dni wolne od pracy. </w:t>
      </w:r>
    </w:p>
    <w:p>
      <w:pPr>
        <w:pStyle w:val="ListParagraph"/>
        <w:numPr>
          <w:ilvl w:val="0"/>
          <w:numId w:val="1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Termin realizacji zamówienia określonej partii Asortymentu zostanie dotrzymany, gdy Asortyment zostanie wydany Kupującemu w terminach, o którym mowa w niniejszym ustępie. </w:t>
      </w:r>
    </w:p>
    <w:p>
      <w:pPr>
        <w:pStyle w:val="ListParagraph"/>
        <w:ind w:left="1287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567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Strony ustalają, że Sprzedawcę obciążać będą wszelkie koszty związane z realizacją Umowy, w tym zwłaszcza koszty wydania Asortymentu, a w szczególności koszty zmierzenia lub zważenia, opakowania, ubezpieczenia za czas przewozu i koszty przesłania rzeczy oraz koszty odebrania. 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567" w:right="0" w:hanging="360"/>
        <w:jc w:val="both"/>
        <w:rPr>
          <w:rFonts w:eastAsia="Arial" w:cs="Arial" w:ascii="Arial" w:hAnsi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 każde żądanie Kupującego, wraz z dostarczeniem określonej partii Asortymentu, Sprzedawca zobowiązany jest dostarczyć dokumenty potwierdzające dopuszczenie zamówionego Asortymentu do obrotu i stosowania</w:t>
      </w:r>
      <w:r>
        <w:rPr>
          <w:rFonts w:cs="Arial" w:ascii="Arial" w:hAnsi="Arial"/>
          <w:bCs/>
          <w:sz w:val="20"/>
          <w:szCs w:val="20"/>
        </w:rPr>
        <w:t xml:space="preserve"> n</w:t>
      </w:r>
      <w:r>
        <w:rPr>
          <w:rFonts w:eastAsia="Arial" w:cs="Arial" w:ascii="Arial" w:hAnsi="Arial"/>
          <w:bCs/>
          <w:sz w:val="20"/>
          <w:szCs w:val="20"/>
        </w:rPr>
        <w:t xml:space="preserve">a terenie Rzeczypospolitej Polskiej. Niedostarczenie dokumentów, o których mowa w zdaniu pierwszym jest równoznaczne ze zwłoką w realizacji zamówienia określonej partii Asortymentu, a dodatkowo może zostać poczytane jako wycofanie dopuszczenia zamówionego Asortymentu do obrotu i stosowania na terenie RP. 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567" w:right="0" w:hanging="36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Kupujący ma prawo odmowy odbioru określonej partii Asortymentu w całości lub w części, w wypadku stwierdzenia:</w:t>
      </w:r>
    </w:p>
    <w:p>
      <w:pPr>
        <w:pStyle w:val="Normal"/>
        <w:tabs>
          <w:tab w:val="left" w:pos="567" w:leader="none"/>
        </w:tabs>
        <w:ind w:left="567" w:right="0" w:hanging="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naruszenia lub uszkodzenia, opakowania zewnętrznego, w którym Asortyment dostarczany będzie do Zamawiającego lub naruszenia, uszkodzenia lub zabrudzenia opakowań poszczególnych produktów składających się na Asortyment,</w:t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braków ilościowych Asortymentu </w:t>
      </w:r>
      <w:r>
        <w:rPr>
          <w:rFonts w:cs="Arial" w:ascii="Arial" w:hAnsi="Arial"/>
          <w:sz w:val="20"/>
          <w:szCs w:val="20"/>
        </w:rPr>
        <w:t>względem złożonego zamówienia na określoną partię Asortymentu,</w:t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krótszego niż wskazany w § 1 terminu ważności Asortymentu.</w:t>
      </w:r>
    </w:p>
    <w:p>
      <w:pPr>
        <w:pStyle w:val="ListParagraph"/>
        <w:ind w:left="927" w:right="0" w:hanging="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567" w:right="0" w:hanging="36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W wypadku odmowy odbioru Asortymentu, przyjmuje się, że Sprzedawca pozostaje w zwłoce w stosunku do tej partii, której odbioru odmówiono. 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567" w:right="0" w:hanging="36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Od momentu odbioru określonej partii Asortymentu, Kupującemu, w stosunku do tej partii Asortymentu, przysługują uprawnienia z tytułu rękojmi za wady, o których mowa w § 8</w:t>
      </w:r>
      <w:r>
        <w:rPr>
          <w:rFonts w:cs="Arial" w:ascii="Arial" w:hAnsi="Arial"/>
          <w:bCs/>
          <w:sz w:val="20"/>
          <w:szCs w:val="20"/>
          <w:vertAlign w:val="superscript"/>
        </w:rPr>
        <w:t>1</w:t>
      </w:r>
      <w:r>
        <w:rPr>
          <w:rFonts w:cs="Arial" w:ascii="Arial" w:hAnsi="Arial"/>
          <w:bCs/>
          <w:sz w:val="20"/>
          <w:szCs w:val="20"/>
        </w:rPr>
        <w:t xml:space="preserve"> Umowy.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567" w:right="0" w:hanging="36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Kupujący obciąży Sprzedawcę wszelkimi dodatkowymi kosztami, jakie Kupujący poniesie z powodu opóźnienia Sprzedawcy w realizacji zamówienia określonej partii Asortymentu. 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ind w:left="567" w:right="0" w:hanging="360"/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Strony zastrzegają możliwość zwrotu zakupionego Asortymentu przez Kupującego, w terminie …. (zgodnie z ofertą Sprzedawcy) od jego dostarczenia. W takim wypadku, Sprzedawca zwróci otrzymane wynagrodzenie. Oświadczenie o zwrocie będzie składane w sposób, o którym mowa w ust. 3. </w:t>
      </w:r>
    </w:p>
    <w:p>
      <w:pPr>
        <w:pStyle w:val="Normal"/>
        <w:tabs>
          <w:tab w:val="left" w:pos="567" w:leader="none"/>
        </w:tabs>
        <w:ind w:left="567" w:right="0" w:hanging="0"/>
        <w:jc w:val="both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left" w:pos="567" w:leader="none"/>
        </w:tabs>
        <w:ind w:left="567" w:right="0" w:hanging="567"/>
        <w:jc w:val="center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3</w:t>
      </w:r>
      <w:r>
        <w:rPr>
          <w:rFonts w:cs="Arial" w:ascii="Arial" w:hAnsi="Arial"/>
          <w:bCs/>
          <w:sz w:val="20"/>
          <w:szCs w:val="20"/>
        </w:rPr>
        <w:t xml:space="preserve"> </w:t>
      </w:r>
    </w:p>
    <w:p>
      <w:pPr>
        <w:pStyle w:val="ListParagraph"/>
        <w:numPr>
          <w:ilvl w:val="0"/>
          <w:numId w:val="16"/>
        </w:numPr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Niniejsza Umowa obowiązuje od daty zawarcia do dnia ….. r.</w:t>
      </w:r>
    </w:p>
    <w:p>
      <w:pPr>
        <w:pStyle w:val="ListParagraph"/>
        <w:numPr>
          <w:ilvl w:val="0"/>
          <w:numId w:val="16"/>
        </w:numPr>
        <w:jc w:val="both"/>
        <w:rPr>
          <w:rFonts w:eastAsia="Times New Roman" w:cs="Arial" w:ascii="Arial" w:hAnsi="Arial"/>
          <w:sz w:val="20"/>
          <w:szCs w:val="20"/>
        </w:rPr>
      </w:pPr>
      <w:r>
        <w:rPr>
          <w:rFonts w:eastAsia="Times New Roman" w:cs="Arial" w:ascii="Arial" w:hAnsi="Arial"/>
          <w:sz w:val="20"/>
          <w:szCs w:val="20"/>
        </w:rPr>
        <w:t xml:space="preserve">Niezależnie od powyższego, niniejsza Umowa obowiązuje do czasu, gdy wynagrodzenie Sprzedawcy z tytułu sprzedanych partii Asortymentu, przed upływem terminu, o którym mowa w ust. 1, osiągnie kwotę, o której mowa w § 4 ust. 1 Umowy. </w:t>
      </w:r>
    </w:p>
    <w:p>
      <w:pPr>
        <w:pStyle w:val="Normal"/>
        <w:tabs>
          <w:tab w:val="left" w:pos="480" w:leader="none"/>
          <w:tab w:val="left" w:pos="567" w:leader="none"/>
        </w:tabs>
        <w:ind w:left="567" w:right="0" w:hanging="567"/>
        <w:rPr>
          <w:rFonts w:eastAsia="Times New Roman" w:cs="Arial" w:ascii="Arial" w:hAnsi="Arial"/>
          <w:b/>
          <w:sz w:val="20"/>
          <w:szCs w:val="20"/>
        </w:rPr>
      </w:pPr>
      <w:r>
        <w:rPr>
          <w:rFonts w:eastAsia="Times New Roman"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§ 4</w:t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i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Łączne wynagrodzenie Sprzedawcy z tytułu niniejszej Umowy </w:t>
      </w:r>
      <w:r>
        <w:rPr>
          <w:rFonts w:cs="Arial" w:ascii="Arial" w:hAnsi="Arial"/>
          <w:b/>
          <w:sz w:val="20"/>
          <w:szCs w:val="20"/>
        </w:rPr>
        <w:t>nie przekroczy kwoty ………….. zł brutto</w:t>
      </w:r>
      <w:r>
        <w:rPr>
          <w:rFonts w:cs="Arial" w:ascii="Arial" w:hAnsi="Arial"/>
          <w:sz w:val="20"/>
          <w:szCs w:val="20"/>
        </w:rPr>
        <w:t xml:space="preserve"> (słownie brutto: …………………… złotych), w tym podatek VAT …..%, …………….. zł netto – </w:t>
      </w:r>
      <w:r>
        <w:rPr>
          <w:rFonts w:cs="Arial" w:ascii="Arial" w:hAnsi="Arial"/>
          <w:i/>
          <w:sz w:val="20"/>
          <w:szCs w:val="20"/>
        </w:rPr>
        <w:t>zgodnie z ofertą Sprzedawcy.</w:t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Sprzedawcy przysługiwać będzie wynagrodzenie jedynie za sprzedane partie Asortymentu (zrealizowane zamówienia określonych partii Asortymentu). W wypadku, gdy w terminie obowiązywania Umowy, o którym mowa w § 3 ust. 1 Umowy, łączne wynagrodzenie Sprzedawcy z tytułu sprzedanych partii Asortymentu nie osiągnie kwoty, o której mowa w § 4 ust 1 Umowy, Sprzedawca nie ma prawa domagać się zapłaty wynagrodzenia w tej wysokości. </w:t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Płatność dokonywana będzie na każdorazowo na podstawie prawidłowo wystawionej przez Sprzedawcę faktury VAT, w terminie do 60 dni od dnia jej doręczenia Kupującemu. Podstawą do wystawienia faktury VAT będzie wydanie określonej partii asortymentu. W treści faktury powinien być wskazany numer niniejszej Umowy.</w:t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Wynagrodzenie uiszczane będzie w formie przelewu bankowego na rachunek bankowy Sprzedawcy o nr ………………………………………….………………. Za dzień zapłaty Strony uznają dzień obciążenia rachunku bankowego Kupującego. </w:t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Wynagrodzenie Sprzedawcy ustalone zostało w oparciu o złożoną ofertę i nie będzie waloryzowane, z zastrzeżeniem odpowiednich postanowień § 5 Umowy. </w:t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Ustalone w Umowie wynagrodzenie pokrywa ogół świadczeń Sprzedawcy tytułem niniejszej Umowy oraz związane z nimi koszty, (w tym koszty przesłania Kupującemu określonych partii Asortymentu), i Sprzedawca nie jest uprawniony do żądania jego podwyższenia, z zastrzeżeniem odpowiednich postanowień § 5 Umowy.  </w:t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Ceny jednostkowe zaoferowanego Asortymentu, zawarte w Załączniku nr 1 do Umowy, są cenami maksymalnymi, a ustalając cenę zamawianego przez Kupującego Asortymentu, Sprzedawca obniży je w wypadku:</w:t>
      </w:r>
    </w:p>
    <w:p>
      <w:pPr>
        <w:pStyle w:val="Normal"/>
        <w:ind w:left="426" w:right="0" w:hanging="0"/>
        <w:jc w:val="both"/>
        <w:textAlignment w:val="baseline"/>
        <w:rPr>
          <w:rFonts w:cs="Arial" w:ascii="Arial" w:hAnsi="Arial"/>
          <w:b/>
          <w:i/>
          <w:sz w:val="20"/>
          <w:szCs w:val="20"/>
        </w:rPr>
      </w:pPr>
      <w:r>
        <w:rPr>
          <w:rFonts w:cs="Arial" w:ascii="Arial" w:hAnsi="Arial"/>
          <w:b/>
          <w:i/>
          <w:sz w:val="20"/>
          <w:szCs w:val="20"/>
        </w:rPr>
      </w:r>
    </w:p>
    <w:p>
      <w:pPr>
        <w:pStyle w:val="ListParagraph"/>
        <w:numPr>
          <w:ilvl w:val="0"/>
          <w:numId w:val="14"/>
        </w:numPr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Wystąpienia promocyjnej ceny Asortymentu u producenta Asortymentu, </w:t>
      </w:r>
    </w:p>
    <w:p>
      <w:pPr>
        <w:pStyle w:val="ListParagraph"/>
        <w:numPr>
          <w:ilvl w:val="0"/>
          <w:numId w:val="14"/>
        </w:numPr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Wystąpienia promocyjnej ceny Asortymentu u Sprzedawcy, </w:t>
      </w:r>
    </w:p>
    <w:p>
      <w:pPr>
        <w:pStyle w:val="ListParagraph"/>
        <w:numPr>
          <w:ilvl w:val="0"/>
          <w:numId w:val="14"/>
        </w:numPr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Sprzedaży tzw. pakietów producenckich i przedstawicielskich. </w:t>
      </w:r>
    </w:p>
    <w:p>
      <w:pPr>
        <w:pStyle w:val="ListParagraph"/>
        <w:ind w:left="927" w:right="0" w:hanging="0"/>
        <w:jc w:val="both"/>
        <w:textAlignment w:val="baseline"/>
        <w:rPr>
          <w:rFonts w:cs="Arial" w:ascii="Arial" w:hAnsi="Arial"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numPr>
          <w:ilvl w:val="3"/>
          <w:numId w:val="16"/>
        </w:numPr>
        <w:ind w:left="426" w:right="0" w:hanging="360"/>
        <w:jc w:val="both"/>
        <w:textAlignment w:val="baseline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Sprzedawca umożliwi Kupującemu monitorowanie promocyjnych cen Asortymentu.</w:t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5</w:t>
      </w:r>
    </w:p>
    <w:p>
      <w:pPr>
        <w:pStyle w:val="Normal"/>
        <w:numPr>
          <w:ilvl w:val="0"/>
          <w:numId w:val="3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Strony przewidują możliwość zmian Umowy w zakresie: </w:t>
      </w:r>
    </w:p>
    <w:p>
      <w:pPr>
        <w:pStyle w:val="Normal"/>
        <w:ind w:left="426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4"/>
        </w:numPr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oznaczenia </w:t>
      </w:r>
      <w:r>
        <w:rPr>
          <w:rFonts w:cs="Arial" w:ascii="Arial" w:hAnsi="Arial"/>
          <w:bCs/>
          <w:sz w:val="20"/>
          <w:szCs w:val="20"/>
        </w:rPr>
        <w:t xml:space="preserve">firm, siedzib Stron, numerów kont bankowych oraz innych danych identyfikacyjnych wskazanych w Umowie, w wypadku, gdy ulegną one zmianie w toku obowiązywania Umowy, </w:t>
      </w:r>
    </w:p>
    <w:p>
      <w:pPr>
        <w:pStyle w:val="Normal"/>
        <w:numPr>
          <w:ilvl w:val="0"/>
          <w:numId w:val="4"/>
        </w:numPr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oczywistych omyłek pisarskich i rachunkowych w treści Umowy, </w:t>
      </w:r>
    </w:p>
    <w:p>
      <w:pPr>
        <w:pStyle w:val="Normal"/>
        <w:numPr>
          <w:ilvl w:val="0"/>
          <w:numId w:val="4"/>
        </w:numPr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przedłużenia okresu obowiązywania Umowy określonego w § 3 ust. 1 Umowy - do czasu wykorzystania przez Zamawiającego całości Asortymentu określonego w Załączniku nr 1 do Umowy, jednak nie dłużej niż na okres 6 miesięcy.</w:t>
      </w:r>
    </w:p>
    <w:p>
      <w:pPr>
        <w:pStyle w:val="Normal"/>
        <w:numPr>
          <w:ilvl w:val="0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poszczególnych pozycji Asortymentu (tak konkretnego produktu danego producenta poszczególnych pozycji Asortymentu, jakiego Sprzedawca wskazał w złożonej ofercie, jak i samego producenta) w wypadku, gdy uzasadnione to będzie: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zakończeniem produkcji lub wycofaniem z rynku określonych pozycji Asortymentu, wycofania zezwolenia na wprowadzenie do obrotu i stosowania określonych pozycji Asortymentu, </w:t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powtarzającymi się brakami określonych pozycji Asortymentu, powodującymi opóźnienia w realizacji zamówień określonych partii Asortymentu, </w:t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zmianą nazwy handlowej określonych pozycji Asortymentu, </w:t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wprowadzeniem na rynek produktu zmodyfikowanego lub udoskonalonego w stosunku do określonych pozycji Asortymentu,</w:t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wykreśleniem określonej pozycji Asortymentu odpowiedniego wykazu produktów refundowanych, </w:t>
      </w:r>
    </w:p>
    <w:p>
      <w:pPr>
        <w:pStyle w:val="Normal"/>
        <w:ind w:left="1647" w:right="0" w:hanging="0"/>
        <w:jc w:val="both"/>
        <w:rPr>
          <w:rFonts w:eastAsia="Calibri" w:cs="Arial" w:ascii="Arial" w:hAnsi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</w:r>
    </w:p>
    <w:p>
      <w:pPr>
        <w:pStyle w:val="Normal"/>
        <w:ind w:left="708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pod warunkiem, że nowy produkt posiadać będzie te same lub lepsze parametry jakościowe, a cena jednostkowa nie ulegnie zmianie. O tym, czy nowy produkt posiada te same lub lepsze parametry jakościowe decydował będzie wyłącznie Kupujący. </w:t>
      </w:r>
    </w:p>
    <w:p>
      <w:pPr>
        <w:pStyle w:val="Normal"/>
        <w:ind w:left="927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Zmiany cen jednostkowych określonych pozycji Asortymentu w wypadku:</w:t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Zmiany wielkości opakowania oraz dawki proporcjonalnie do ceny wskazanej w Załączniku nr 1 do Umowy, </w:t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Zmiany cen urzędowych leków – w tym wypadku Sprzedawca zobowiązany jest wykazać Kupującemu zmianę cen urzędowych, powołaniem się na odpowiednie przepisy,</w:t>
      </w:r>
    </w:p>
    <w:p>
      <w:pPr>
        <w:pStyle w:val="Normal"/>
        <w:numPr>
          <w:ilvl w:val="1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Zmiany wysokości cen tego Asortymentu oferowanych na rynku. 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Zmiany postaci opakowania określonych pozycji Asortymentu, zawierającego inną ilość produktu niż wskazana w Załączniku nr 1, pod warunkiem przeliczenia matematycznego z dokładnością do dwóch miejsc po przecinku, by całkowita ilość zgodna była z ilością wskazaną w Załączniku nr 1, </w:t>
      </w:r>
    </w:p>
    <w:p>
      <w:pPr>
        <w:pStyle w:val="ListParagraph"/>
        <w:numPr>
          <w:ilvl w:val="0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Zmiany postaci określonego Asortymentu wyłącznie z postaci tabletek na tabletki powlekane, kapsułki, drażetki lub odwrotnie lub zamiennie (wykluczona jest zmiana na tabletki musujące oraz tabletki o przedłużonym uwalnianiu, a także zmiana fiolek na ampułki i odwrotnie) pod warunkiem, że ceny jednostkowe nie ulegną zmianie.</w:t>
      </w:r>
    </w:p>
    <w:p>
      <w:pPr>
        <w:pStyle w:val="ListParagraph"/>
        <w:numPr>
          <w:ilvl w:val="0"/>
          <w:numId w:val="4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Zmiany ilości poszczególnych elementów Asortymentu w ramach wynagrodzenia, o którym mowa w § 4 ust. 1 Umowy.  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Strony przewidują dokonanie odpowiednich zmian wysokości wynagrodzenia należnego Sprzedawcy w wypadku, gdy zmianie ulegną:</w:t>
      </w:r>
    </w:p>
    <w:p>
      <w:pPr>
        <w:pStyle w:val="ListParagraph"/>
        <w:ind w:left="501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stawki podatku od towarów i usług,</w:t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wysokość minimalnego wynagrodzenia za pracę ustalonego na podstawie art. 2 ust. 3-5 ustawy z dnia 10 października 2002 r. o minimalnym wynagrodzeniu za pracę,</w:t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zasady podlegania ubezpieczeniom społecznym lub ubezpieczeniu zdrowotnemu lub wysokość stawki składki na ubezpieczenie społeczne lub zdrowotne,</w:t>
      </w:r>
    </w:p>
    <w:p>
      <w:pPr>
        <w:pStyle w:val="ListParagraph"/>
        <w:numPr>
          <w:ilvl w:val="1"/>
          <w:numId w:val="2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zasady gromadzenia i wysokości wpłat do pracowniczych planów kapitałowych, o których mo</w:t>
      </w:r>
      <w:r>
        <w:rPr>
          <w:rFonts w:cs="Arial" w:ascii="Arial" w:hAnsi="Arial"/>
          <w:color w:val="00000A"/>
          <w:sz w:val="20"/>
          <w:szCs w:val="20"/>
        </w:rPr>
        <w:t xml:space="preserve">wa w </w:t>
      </w:r>
      <w:r>
        <w:fldChar w:fldCharType="begin"/>
      </w:r>
      <w:r>
        <w:instrText> HYPERLINK "https://sip.lex.pl/" \l "/document/18781862?cm=DOCUMENT"</w:instrText>
      </w:r>
      <w:r>
        <w:fldChar w:fldCharType="separate"/>
      </w:r>
      <w:r>
        <w:rPr>
          <w:rStyle w:val="Czeinternetowe"/>
          <w:rFonts w:cs="Arial" w:ascii="Arial" w:hAnsi="Arial"/>
          <w:color w:val="00000A"/>
          <w:sz w:val="20"/>
          <w:szCs w:val="20"/>
          <w:u w:val="none"/>
        </w:rPr>
        <w:t>ustawie</w:t>
      </w:r>
      <w:r>
        <w:fldChar w:fldCharType="end"/>
      </w:r>
      <w:r>
        <w:rPr>
          <w:rFonts w:cs="Arial" w:ascii="Arial" w:hAnsi="Arial"/>
          <w:color w:val="00000A"/>
          <w:sz w:val="20"/>
          <w:szCs w:val="20"/>
        </w:rPr>
        <w:t xml:space="preserve"> z </w:t>
      </w:r>
      <w:bookmarkStart w:id="1" w:name="_GoBack"/>
      <w:bookmarkEnd w:id="1"/>
      <w:r>
        <w:rPr>
          <w:rFonts w:cs="Arial" w:ascii="Arial" w:hAnsi="Arial"/>
          <w:sz w:val="20"/>
          <w:szCs w:val="20"/>
        </w:rPr>
        <w:t>dnia 4 października 2018 r. o pracowniczych planach kapitałowych,</w:t>
      </w:r>
    </w:p>
    <w:p>
      <w:pPr>
        <w:pStyle w:val="ListParagraph"/>
        <w:ind w:left="927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567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jeżeli Umowa zostanie zawarta na okres dłuższy niż 12 miesięcy, a zmiany te będą miały wpływ na koszty wykonania zamówienia przez Sprzedawcę.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Wprowadzenie zmian, o których mowa w ust. 2 następuje na uzasadniony, pisemny wniosek Strony występującej o wprowadzenie zmian. Uzasadnienie wniosku powinno być poparte dowodami, z których jednoznacznie będzie wynikać wpływ zmian, o których mowa w ust. 2 lit. a) -c) na koszty wykonania zamówienia przez Sprzedawcę. Strona występująca o wprowadzenie zmiany wynagrodzenia zobowiązana jest złożyć wniosek z co najmniej 1 - miesięcznym wyprzedzeniem przed planową datą obowiązywania zmienionego wynagrodzenia Sprzedawcy. Wraz z wnioskiem (oraz dowodami, o których mowa powyżej) Strona wnioskująca o wprowadzenia zmian, przedkłada projekt aneksu do umowy regulujący zmianę wynagrodzenia Sprzedawcy. </w:t>
      </w:r>
    </w:p>
    <w:p>
      <w:pPr>
        <w:pStyle w:val="Normal"/>
        <w:widowControl/>
        <w:numPr>
          <w:ilvl w:val="0"/>
          <w:numId w:val="3"/>
        </w:numPr>
        <w:suppressAutoHyphens w:val="false"/>
        <w:spacing w:before="0" w:after="160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Wszystkie zmiany umowy wymagają formy pisemnej pod rygorem nieważności, za wyjątkiem zamian określonych w ust 1 pkt d) ppkt. i, iii-v, pkt e) – h), które możliwe są z zachowaniem formy dokumentowej pod postacią wiadomości e-mail. 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bCs/>
          <w:sz w:val="20"/>
          <w:szCs w:val="20"/>
          <w:vertAlign w:val="superscript"/>
        </w:rPr>
      </w:pPr>
      <w:r>
        <w:rPr>
          <w:rFonts w:cs="Arial" w:ascii="Arial" w:hAnsi="Arial"/>
          <w:b/>
          <w:bCs/>
          <w:sz w:val="20"/>
          <w:szCs w:val="20"/>
        </w:rPr>
        <w:t>§5</w:t>
      </w:r>
      <w:r>
        <w:rPr>
          <w:rFonts w:cs="Arial" w:ascii="Arial" w:hAnsi="Arial"/>
          <w:b/>
          <w:bCs/>
          <w:sz w:val="20"/>
          <w:szCs w:val="20"/>
          <w:vertAlign w:val="superscript"/>
        </w:rPr>
        <w:t>1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1.</w:t>
        <w:tab/>
        <w:t>Kupujący przewiduje możliwość zastosowania prawa opcji, o którym mowa w art. 34 ust. 5 ustawy z dnia 29 stycznia 2004 r. ustawy PZP zwiększającego ilość Asortymentu o nie więcej niż równowartości 20% wynagrodzenia, wskazanego w § 4 ust. 1.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2.</w:t>
        <w:tab/>
        <w:t>Skorzystanie z prawa opcji jest uprawnieniem Kupującego i Sprzedawca nie może żądać od Kupującego skorzystania z prawa opcji.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3.</w:t>
        <w:tab/>
        <w:t>Skorzystanie z prawa opcji nastąpi poprzez złożenie przez Kupującego na piśmie oświadczenia o skorzystaniu z prawa opcji, w którym Kupujący wskaże ilość zwiększanego Asortymentu.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4.</w:t>
        <w:tab/>
        <w:t>Kupujący może wielokrotnie skorzystać z prawa opcji, aż do zwiększenia ilości Asortymentu do wysokości, o której mowa w ust. 1 .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§ 6</w:t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Sprzedawca zapłaci Kupującemu karę umowną:</w:t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 odstąpienie od umowy przez Kupującego z przyczyn, za które ponosi odpowiedzialność Sprzedawca w wypadku:</w:t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2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odstąpienia od Umowy w całości – w wysokości 10 % łącznego wynagrodzenia brutto, o którym mowa w § 4 ust. 1 Umowy,</w:t>
      </w:r>
    </w:p>
    <w:p>
      <w:pPr>
        <w:pStyle w:val="Normal"/>
        <w:numPr>
          <w:ilvl w:val="2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odstąpienia od Umowy w części – w wysokości 10 % łącznego wynagrodzenia brutto należnego Sprzedawcy w stosunku do tej części Umowy, </w:t>
      </w:r>
    </w:p>
    <w:p>
      <w:pPr>
        <w:pStyle w:val="Normal"/>
        <w:ind w:left="1314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 opóźnienie w realizacji zamówienia określonej partii Asortymentu </w:t>
      </w:r>
      <w:bookmarkStart w:id="2" w:name="_Hlk515344327"/>
      <w:r>
        <w:rPr>
          <w:rFonts w:cs="Arial" w:ascii="Arial" w:hAnsi="Arial"/>
          <w:sz w:val="20"/>
          <w:szCs w:val="20"/>
        </w:rPr>
        <w:t>w terminie określonym w § 2 ust. 8 Umowy - w wysokości 3% ceny brutto tej partii Asortymentu, za każdą rozpoczętą godzinę opóźnienia,</w:t>
      </w:r>
    </w:p>
    <w:p>
      <w:pPr>
        <w:pStyle w:val="Normal"/>
        <w:numPr>
          <w:ilvl w:val="1"/>
          <w:numId w:val="5"/>
        </w:numPr>
        <w:jc w:val="both"/>
        <w:rPr>
          <w:rFonts w:cs="Arial" w:ascii="Arial" w:hAnsi="Arial"/>
          <w:sz w:val="20"/>
          <w:szCs w:val="20"/>
        </w:rPr>
      </w:pPr>
      <w:bookmarkEnd w:id="2"/>
      <w:r>
        <w:rPr>
          <w:rFonts w:cs="Arial" w:ascii="Arial" w:hAnsi="Arial"/>
          <w:sz w:val="20"/>
          <w:szCs w:val="20"/>
        </w:rPr>
        <w:t>za opóźnienie w wymianie Asortymentu na wolny od wad w ramach rękojmi za wady w terminie, o którym mowa w § 8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ust. 3 Umowy - w wysokości 3% ceny brutto tego Asortymentu, za każdą rozpoczętą godzinę opóźnienia,</w:t>
      </w:r>
    </w:p>
    <w:p>
      <w:pPr>
        <w:pStyle w:val="Normal"/>
        <w:numPr>
          <w:ilvl w:val="1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 zwłokę w przekazaniu Kupującemu list podwykonawców (w tym list zaktualizowanych), o których mowa w § 9 ust 2 Umowy lub umów podwykonawczych, o których mowa w § 9 ust. 2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Umowy - w wysokości 0.1 % łącznego wynagrodzenia brutto, o którym mowa w § 4 Umowy, za każdy dzień zwłoki,</w:t>
      </w:r>
    </w:p>
    <w:p>
      <w:pPr>
        <w:pStyle w:val="Normal"/>
        <w:numPr>
          <w:ilvl w:val="1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 niezawarcie w umowie podwykonawczej postanowienia, o którym mowa w § 9 ust. 3 Umowy – w wysokości 1 % łącznego wynagrodzenia brutto, o którym mowa w § 4 Umowy. </w:t>
      </w:r>
    </w:p>
    <w:p>
      <w:pPr>
        <w:pStyle w:val="Normal"/>
        <w:ind w:left="927" w:right="0" w:hanging="0"/>
        <w:jc w:val="both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Kary umowne określone podlegają sumowaniu, </w:t>
      </w:r>
    </w:p>
    <w:p>
      <w:pPr>
        <w:pStyle w:val="Normal"/>
        <w:numPr>
          <w:ilvl w:val="0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Kwoty kar umownych Kupujący będzie mógł potrącić z faktur Sprzedawcy, na co Sprzedawca wyraża zgodę bez potrzeby składania dodatkowego oświadczenia.</w:t>
      </w:r>
    </w:p>
    <w:p>
      <w:pPr>
        <w:pStyle w:val="Normal"/>
        <w:numPr>
          <w:ilvl w:val="0"/>
          <w:numId w:val="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Strony zastrzegają sobie prawo do dochodzenia odszkodowania przenoszącego wysokość kar umownych.</w:t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8" w:leader="none"/>
        </w:tabs>
        <w:ind w:left="0" w:right="0" w:hanging="200"/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§ 7</w:t>
      </w:r>
    </w:p>
    <w:p>
      <w:pPr>
        <w:pStyle w:val="Normal"/>
        <w:numPr>
          <w:ilvl w:val="3"/>
          <w:numId w:val="11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Kupujący może odstąpić od umowy w terminie 30 dnia od dnia powzięcia wiadomości o tych okolicznościach.</w:t>
      </w:r>
    </w:p>
    <w:p>
      <w:pPr>
        <w:pStyle w:val="Normal"/>
        <w:numPr>
          <w:ilvl w:val="3"/>
          <w:numId w:val="11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wypadku zwłoki Sprzedawcy w realizacji zamówienia określonej partii Asortymentu, w terminie, o którym mowa w § 2 ust. 8 Umowy, Kupujący będzie mógł od Umowy odstąpić bez wyznaczania terminu dodatkowego (lex comissoria – art. 492 k.c.). </w:t>
      </w:r>
    </w:p>
    <w:p>
      <w:pPr>
        <w:pStyle w:val="Normal"/>
        <w:numPr>
          <w:ilvl w:val="3"/>
          <w:numId w:val="11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Niezależenie od ustawowego prawa odstąpienia od Umowy, w tym także prawa, o którym mowa w ust. 2, Kupującemu przysługuje również umowne prawo odstąpienia od Umowy, w przypadku wystąpienia następujących okoliczności:</w:t>
      </w:r>
    </w:p>
    <w:p>
      <w:pPr>
        <w:pStyle w:val="Normal"/>
        <w:ind w:left="426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bookmarkStart w:id="3" w:name="_Hlk515345097"/>
      <w:bookmarkEnd w:id="3"/>
      <w:r>
        <w:rPr>
          <w:rFonts w:cs="Arial" w:ascii="Arial" w:hAnsi="Arial"/>
          <w:sz w:val="20"/>
          <w:szCs w:val="20"/>
        </w:rPr>
        <w:t xml:space="preserve">dwukrotnego opóźnienia Sprzedawcy w realizacji zamówienia określonej partii Asortymentu lub jednokrotnego takiego opóźnienia, które to przekracza 24 godziny, w stosunku do terminu, o którym mowa w § 2 ust. 8 Umowy, </w:t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bookmarkStart w:id="4" w:name="_Hlk5153450971"/>
      <w:bookmarkEnd w:id="4"/>
      <w:r>
        <w:rPr>
          <w:rFonts w:cs="Arial" w:ascii="Arial" w:hAnsi="Arial"/>
          <w:sz w:val="20"/>
          <w:szCs w:val="20"/>
        </w:rPr>
        <w:t>dwukrotnego opóźnienia Sprzedawcy w wymianie Asortymentu na wolny od wad w ramach rękojmi za wady lub jednokrotnego takiego opóźnienia, które to przekracza 72 h, w stosunku do terminu, o którym mowa w § 8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ust. 3 Umowy, </w:t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powierzenia przez Sprzedawcę wykonania przedmiotu Umowy podwykonawcom w zakresie niewskazanym w ofercie, nieprzekazania Kupującemu list podwykonawców (w tym list zaktualizowanych), o których mowa w § 9 ust. 2 Umowy lub umów podwykonawczych, o których mowa w § 9 ust. 2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Umowy, niezawarcia w umowie podwykonawczej postanowienia, o którym mowa w § 9 ust. 3 Umowy,</w:t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nieprzedłożenia, zgodnie z § 11 Umowy, kopii aktualnego dokumentu potwierdzającego ubezpieczenie od odpowiedzialności cywilnej Sprzedawcy lub dokumentów potwierdzających kontynuację ubezpieczenia w terminie, o którym mowa w 11 ust. 2 Umowy, </w:t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wydania nakazu zajęcia majątku Sprzedawcy,</w:t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innego rażącego naruszenia warunków Umowy lub przepisów prawa, </w:t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wycofania dopuszczenia do obrotu i stosowania na terenie RP zgodnie z obowiązującymi przepisami prawa, wydanego w stosunku do którejkolwiek z pozycji Asortymentu, </w:t>
      </w:r>
    </w:p>
    <w:p>
      <w:pPr>
        <w:pStyle w:val="Normal"/>
        <w:numPr>
          <w:ilvl w:val="1"/>
          <w:numId w:val="6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zaniechanie obniżenia ceny przez Sprzedawcę, zgodnie z § 4 ust. 7 Umowy, </w:t>
      </w:r>
    </w:p>
    <w:p>
      <w:pPr>
        <w:pStyle w:val="Normal"/>
        <w:ind w:left="927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426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w terminie 20 dni od dnia powzięcia przez Kupującego wiadomości o wystąpieniu okoliczności uzasadniających odstąpienie. 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3"/>
          <w:numId w:val="11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Odstąpienie od Umowy powinno nastąpić w formie pisemnej pod rygorem nieważności. </w:t>
      </w:r>
    </w:p>
    <w:p>
      <w:pPr>
        <w:pStyle w:val="Normal"/>
        <w:numPr>
          <w:ilvl w:val="3"/>
          <w:numId w:val="11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Strony ustalają, że ich świadczenia są podzielne, a prawo odstąpienia od Umowy, przysługuje Stronie odstępującej, zależnie od jej wyboru, bądź to od całości umowy bądź to od jej części. </w:t>
      </w:r>
    </w:p>
    <w:p>
      <w:pPr>
        <w:pStyle w:val="Normal"/>
        <w:tabs>
          <w:tab w:val="left" w:pos="708" w:leader="none"/>
        </w:tabs>
        <w:ind w:left="142" w:right="0" w:hanging="0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§ 8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może dokonać przelewu wierzytelności z Umowy na osobę trzecią, jedynie za pisemną </w:t>
      </w:r>
      <w:r>
        <w:rPr>
          <w:rFonts w:cs="Arial" w:ascii="Arial" w:hAnsi="Arial"/>
          <w:b/>
          <w:bCs/>
          <w:sz w:val="20"/>
          <w:szCs w:val="20"/>
        </w:rPr>
        <w:t xml:space="preserve">zgodą jednostki tworzącej Kupującego – Województwa Podlaskiego - </w:t>
      </w:r>
      <w:r>
        <w:rPr>
          <w:rFonts w:cs="Arial" w:ascii="Arial" w:hAnsi="Arial"/>
          <w:sz w:val="20"/>
          <w:szCs w:val="20"/>
        </w:rPr>
        <w:t>art. 54 ust. 5 ustawy z dnia 15 kwietnia 2011 r. o działalności leczniczej (tj. Dz.U.2018 r. poz. 160 ze zm.).</w:t>
      </w:r>
    </w:p>
    <w:p>
      <w:pPr>
        <w:pStyle w:val="Normal"/>
        <w:tabs>
          <w:tab w:val="left" w:pos="708" w:leader="none"/>
        </w:tabs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  <w:vertAlign w:val="superscript"/>
        </w:rPr>
      </w:pPr>
      <w:r>
        <w:rPr>
          <w:rFonts w:cs="Arial" w:ascii="Arial" w:hAnsi="Arial"/>
          <w:b/>
          <w:sz w:val="20"/>
          <w:szCs w:val="20"/>
        </w:rPr>
        <w:t>§ 8</w:t>
      </w:r>
      <w:r>
        <w:rPr>
          <w:rFonts w:cs="Arial" w:ascii="Arial" w:hAnsi="Arial"/>
          <w:b/>
          <w:sz w:val="20"/>
          <w:szCs w:val="20"/>
          <w:vertAlign w:val="superscript"/>
        </w:rPr>
        <w:t>1</w:t>
      </w:r>
    </w:p>
    <w:p>
      <w:pPr>
        <w:pStyle w:val="Normal"/>
        <w:widowControl/>
        <w:numPr>
          <w:ilvl w:val="3"/>
          <w:numId w:val="5"/>
        </w:numPr>
        <w:suppressAutoHyphens w:val="false"/>
        <w:spacing w:lineRule="auto" w:line="252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udziela Zamawiającemu rękojmi na sprzedany Asortyment. </w:t>
      </w:r>
    </w:p>
    <w:p>
      <w:pPr>
        <w:pStyle w:val="Normal"/>
        <w:widowControl/>
        <w:numPr>
          <w:ilvl w:val="3"/>
          <w:numId w:val="5"/>
        </w:numPr>
        <w:suppressAutoHyphens w:val="false"/>
        <w:spacing w:lineRule="auto" w:line="252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 wadę fizyczną Asortymentu, obok okoliczności, o których mowa w art. 556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k.c., Strony uważać będą zwłaszcza:</w:t>
      </w:r>
    </w:p>
    <w:p>
      <w:pPr>
        <w:pStyle w:val="Normal"/>
        <w:widowControl/>
        <w:suppressAutoHyphens w:val="false"/>
        <w:spacing w:lineRule="auto" w:line="252"/>
        <w:ind w:left="426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1"/>
          <w:numId w:val="1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naruszenie lub uszkodzenie, opakowania zewnętrznego, w którym Asortyment dostarczany będzie do Zamawiającego lub naruszenie, uszkodzenie lub zabrudzenie opakowań poszczególnych produktów składających się na Asortyment,</w:t>
      </w:r>
    </w:p>
    <w:p>
      <w:pPr>
        <w:pStyle w:val="ListParagraph"/>
        <w:numPr>
          <w:ilvl w:val="1"/>
          <w:numId w:val="1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braki ilościowe Asortymentu względem złożonego zamówienia na określoną partię Asortymentu,</w:t>
      </w:r>
    </w:p>
    <w:p>
      <w:pPr>
        <w:pStyle w:val="ListParagraph"/>
        <w:numPr>
          <w:ilvl w:val="1"/>
          <w:numId w:val="1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niezgodności producenta produktu będącego elementem Asortymentu lub sprzedanego produktu będącego elementem sprzedanego Asortymentu, względem złożonej przez Sprzedawcę oferty,</w:t>
      </w:r>
    </w:p>
    <w:p>
      <w:pPr>
        <w:pStyle w:val="ListParagraph"/>
        <w:numPr>
          <w:ilvl w:val="1"/>
          <w:numId w:val="15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Krótszy niż wskazany w § 1 terminu ważności Asortymentu.</w:t>
      </w:r>
    </w:p>
    <w:p>
      <w:pPr>
        <w:pStyle w:val="Normal"/>
        <w:widowControl/>
        <w:suppressAutoHyphens w:val="false"/>
        <w:spacing w:lineRule="auto" w:line="252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widowControl/>
        <w:numPr>
          <w:ilvl w:val="3"/>
          <w:numId w:val="5"/>
        </w:numPr>
        <w:suppressAutoHyphens w:val="false"/>
        <w:spacing w:lineRule="auto" w:line="252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Sprzedawca, w wypadku skorzystania przez Kupującego z przysługującego mu uprawnienia w postaci żądania wymiany określonej partii Asortymentu na wolny od wad, zobowiązany jest do jego wymiany na wolny od wad w terminie 48 godzin od zgłoszenia żądania.</w:t>
      </w:r>
    </w:p>
    <w:p>
      <w:pPr>
        <w:pStyle w:val="Normal"/>
        <w:widowControl/>
        <w:numPr>
          <w:ilvl w:val="3"/>
          <w:numId w:val="5"/>
        </w:numPr>
        <w:suppressAutoHyphens w:val="false"/>
        <w:spacing w:lineRule="auto" w:line="252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Utrata uprawnień z tytułu rękojmi przez Kupującego uregulowana w art. 563 k.c. nastąpi, dopiero gdy Kupujący nie zawiadomi Sprzedawcy o wadzie w terminie 20 dni po zbadaniu Asortymentu w czasie i w sposób przyjęty przy rzeczach tego rodzaju, a w wypadku, gdy wada wyjdzie na jaw później – gdy nie zawiadomi Sprzedawcy o wadzie w terminie 20 dni po jej stwierdzeniu. </w:t>
      </w:r>
    </w:p>
    <w:p>
      <w:pPr>
        <w:pStyle w:val="Normal"/>
        <w:widowControl/>
        <w:numPr>
          <w:ilvl w:val="3"/>
          <w:numId w:val="5"/>
        </w:numPr>
        <w:suppressAutoHyphens w:val="false"/>
        <w:spacing w:lineRule="auto" w:line="252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W wypadku, gdy Kupujący zażąda wymiany określonej partii Asortymentu lub usunięcia wady albo złoży oświadczenie o obniżeniu ceny, określając kwotę, o którą cena ma być obniżona, a Sprzedawca nie ustosunkuje się do tego żądania w terminie 24 godzin, uważać się będzie, że Sprzedawca uznał to żądanie. </w:t>
      </w:r>
    </w:p>
    <w:p>
      <w:pPr>
        <w:pStyle w:val="Normal"/>
        <w:widowControl/>
        <w:numPr>
          <w:ilvl w:val="3"/>
          <w:numId w:val="5"/>
        </w:numPr>
        <w:suppressAutoHyphens w:val="false"/>
        <w:spacing w:lineRule="auto" w:line="252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nie może odmówić zadośćuczynienia żądaniu Kupującego, jeśli doprowadzenie do zgodności z Umową określonej partii Asortymentu w sposób wybrany przez Kupującego wymaga nadmiernych kosztów w porównaniu z drugim możliwym sposobem lub gdy koszty zadośćuczynienia temu obowiązkowi przewyższają cenę określonej partii asortymentu.   </w:t>
      </w:r>
    </w:p>
    <w:p>
      <w:pPr>
        <w:pStyle w:val="Normal"/>
        <w:widowControl/>
        <w:numPr>
          <w:ilvl w:val="3"/>
          <w:numId w:val="5"/>
        </w:numPr>
        <w:suppressAutoHyphens w:val="false"/>
        <w:spacing w:lineRule="auto" w:line="252"/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Sprzedawca, w wypadku wykonywania przez Kupującego jego uprawnień z tytułu rękojmi, jest zobowiązany na własny koszt odebrać określoną partię asortymentu z miejsca, gdzie asortyment został Kupującemu wydany zgodnie z § 2 ust. 5 Umowy. </w:t>
      </w:r>
    </w:p>
    <w:p>
      <w:pPr>
        <w:pStyle w:val="Normal"/>
        <w:tabs>
          <w:tab w:val="left" w:pos="708" w:leader="none"/>
        </w:tabs>
        <w:ind w:left="426" w:right="0" w:hanging="426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§ 9</w:t>
      </w:r>
    </w:p>
    <w:p>
      <w:pPr>
        <w:pStyle w:val="Normal"/>
        <w:widowControl/>
        <w:numPr>
          <w:ilvl w:val="0"/>
          <w:numId w:val="7"/>
        </w:numPr>
        <w:suppressAutoHyphens w:val="false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może powierzyć wykonanie przedmiotu Umowy podwykonawcom jedynie w zakresie wskazanym w złożonej w toku ubiegania się o udzielenie zamówienia publicznego ofercie. </w:t>
      </w:r>
    </w:p>
    <w:p>
      <w:pPr>
        <w:pStyle w:val="Normal"/>
        <w:widowControl/>
        <w:numPr>
          <w:ilvl w:val="0"/>
          <w:numId w:val="7"/>
        </w:numPr>
        <w:suppressAutoHyphens w:val="false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zobowiązany jest najpóźniej w dniu zawarcia Umowy do przedstawienia Kupującemu listy podwykonawców wraz ze wskazaniem konkretnych prac, które zostaną powierzone do realizacji każdemu podwykonawcy. Lista, o której mowa w zdaniu poprzedzającym, podlega aktualizacji przez Sprzedawcę każdorazowo w przypadku wprowadzenia nowego podwykonawcy, w tym zastąpienia dotychczasowego podwykonawcy innym. W takim przypadku Sprzedawca zobowiązany jest do przekazania zaktualizowanej listy najpóźniej w dniu dokonania zamiany/zmiany. </w:t>
      </w:r>
    </w:p>
    <w:p>
      <w:pPr>
        <w:pStyle w:val="Normal"/>
        <w:ind w:left="397" w:right="0" w:hanging="397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</w:t>
      </w:r>
      <w:r>
        <w:rPr>
          <w:rFonts w:cs="Arial" w:ascii="Arial" w:hAnsi="Arial"/>
          <w:b/>
          <w:sz w:val="20"/>
          <w:szCs w:val="20"/>
          <w:vertAlign w:val="superscript"/>
        </w:rPr>
        <w:t>1</w:t>
      </w:r>
      <w:r>
        <w:rPr>
          <w:rFonts w:cs="Arial" w:ascii="Arial" w:hAnsi="Arial"/>
          <w:b/>
          <w:sz w:val="20"/>
          <w:szCs w:val="20"/>
        </w:rPr>
        <w:t>.</w:t>
      </w:r>
      <w:r>
        <w:rPr>
          <w:rFonts w:cs="Arial" w:ascii="Arial" w:hAnsi="Arial"/>
          <w:sz w:val="20"/>
          <w:szCs w:val="20"/>
        </w:rPr>
        <w:t xml:space="preserve">  Sprzedawca, wraz z listami, o których mowa w ust. 2 przekazuje Kupującemu poświadczone za            zgodność z oryginałem kopie umów o podwykonawstwo zawartych z podwykonawcami. </w:t>
      </w:r>
    </w:p>
    <w:p>
      <w:pPr>
        <w:pStyle w:val="Normal"/>
        <w:widowControl/>
        <w:numPr>
          <w:ilvl w:val="0"/>
          <w:numId w:val="7"/>
        </w:numPr>
        <w:suppressAutoHyphens w:val="false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Podwykonawca nie ma prawa zlecać dalszym podwykonawcom wykonania jakiegokolwiek fragmentu przedmiotu zamówienia bez uprzedniej pisemnej zgody Kupującego. W umowie podwykonawczej Sprzedawca ma obowiązek zamieszczenia postanowienia analogicznego do zdania pierwszego, pod rygorem zapłaty stosownej kary Umownej, w wysokości co najmniej 10% wynagrodzenia należnego podwykonawcy od Sprzedawcy.</w:t>
      </w:r>
    </w:p>
    <w:p>
      <w:pPr>
        <w:pStyle w:val="Normal"/>
        <w:widowControl/>
        <w:numPr>
          <w:ilvl w:val="0"/>
          <w:numId w:val="7"/>
        </w:numPr>
        <w:suppressAutoHyphens w:val="false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Wykonawca odpowiada za działania i zaniechania podwykonawców/dalszych podwykonawców jak za działania i zaniechania własne.</w:t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§ 10</w:t>
      </w:r>
    </w:p>
    <w:p>
      <w:pPr>
        <w:pStyle w:val="Normal"/>
        <w:numPr>
          <w:ilvl w:val="0"/>
          <w:numId w:val="8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Upoważnionym pracownikiem Kupującego do realizacji przedmiotu umowy jest:</w:t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8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........................................* tel. ................................................ w godz. 7.30 - 15.00 w dni robocze </w:t>
      </w:r>
    </w:p>
    <w:p>
      <w:pPr>
        <w:pStyle w:val="Normal"/>
        <w:numPr>
          <w:ilvl w:val="1"/>
          <w:numId w:val="8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........................................* tel. ................................................ w godz. 7.30 - 15.00 w dni robocze.</w:t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8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Upoważnionym pracownikiem Sprzedawcy do realizacji przedmiotu umowy jest:</w:t>
      </w:r>
    </w:p>
    <w:p>
      <w:pPr>
        <w:pStyle w:val="Normal"/>
        <w:numPr>
          <w:ilvl w:val="1"/>
          <w:numId w:val="8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........................................* tel. ................................................ w godz. 7.30 - 15.00 w dni robocze </w:t>
      </w:r>
    </w:p>
    <w:p>
      <w:pPr>
        <w:pStyle w:val="Normal"/>
        <w:numPr>
          <w:ilvl w:val="1"/>
          <w:numId w:val="8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........................................* tel. ................................................ w godz. 7.30 - 15.00 w dni robocze.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§ 11</w:t>
      </w:r>
    </w:p>
    <w:p>
      <w:pPr>
        <w:pStyle w:val="Normal"/>
        <w:numPr>
          <w:ilvl w:val="3"/>
          <w:numId w:val="9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Sprzedawca oświadcza, że jest ubezpieczony od odpowiedzialności cywilnej w zakresie prowadzonej działalności gospodarczej związanej z przedmiotem zamówienia oraz przedkłada do Umowy potwierdzoną za zgodność z oryginałem kopię aktualnego dokumentu potwierdzającego ubezpieczenie od odpowiedzialności cywilnej Sprzedawcy.</w:t>
      </w:r>
    </w:p>
    <w:p>
      <w:pPr>
        <w:pStyle w:val="Normal"/>
        <w:numPr>
          <w:ilvl w:val="3"/>
          <w:numId w:val="9"/>
        </w:numPr>
        <w:ind w:left="426" w:right="0" w:hanging="36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Sprzedawca zobowiązuje się do posiadania ubezpieczenia, o którym mowa w ust. 1 przez cały okres realizacji Umowy i przedkładania Kupującemu dokumentów potwierdzających kontynuację ubezpieczenia OC prowadzonej działalności gospodarczej związanej z przedmiotem zamówienia przez cały okres realizacji Umowy. Sprzedawca ma obowiązek przedłożenia dokumentów potwierdzających kontynuację ubezpieczenia OC niezwłocznie, nie później jednak niż w terminie 3 dni od dnia ich wystawienia przez ubezpieczyciela. 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left" w:pos="708" w:leader="none"/>
        </w:tabs>
        <w:jc w:val="center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§ 12</w:t>
      </w:r>
    </w:p>
    <w:p>
      <w:pPr>
        <w:pStyle w:val="Normal"/>
        <w:numPr>
          <w:ilvl w:val="0"/>
          <w:numId w:val="10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Każda strona Umowy została parafowana przez podpisujących Umowę. </w:t>
      </w:r>
    </w:p>
    <w:p>
      <w:pPr>
        <w:pStyle w:val="Normal"/>
        <w:numPr>
          <w:ilvl w:val="0"/>
          <w:numId w:val="10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Jeżeli postanowienia Umowy zobowiązują lub upoważniają Strony do złożenia określonej treści oświadczenia w formie pisemnej, przyjmuje się, że zachowanie formy pisemnej zostało zastrzeżone pod rygorem nieważności.</w:t>
      </w:r>
    </w:p>
    <w:p>
      <w:pPr>
        <w:pStyle w:val="Normal"/>
        <w:numPr>
          <w:ilvl w:val="0"/>
          <w:numId w:val="10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Wszelkie oświadczenia Stron związane z Umową będą kierowane na adresy:</w:t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10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Sprzedawca: …,</w:t>
      </w:r>
    </w:p>
    <w:p>
      <w:pPr>
        <w:pStyle w:val="Normal"/>
        <w:ind w:left="108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1"/>
          <w:numId w:val="10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Kupujący:</w:t>
      </w:r>
    </w:p>
    <w:p>
      <w:pPr>
        <w:pStyle w:val="Normal"/>
        <w:ind w:left="0" w:right="0" w:firstLine="708"/>
        <w:jc w:val="both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Szpital Wojewódzki im. Kardynała Stefana Wyszyńskiego w Łomży</w:t>
      </w:r>
    </w:p>
    <w:p>
      <w:pPr>
        <w:pStyle w:val="Normal"/>
        <w:ind w:left="0" w:right="0" w:firstLine="708"/>
        <w:jc w:val="both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Al. Piłsudskiego 11</w:t>
      </w:r>
    </w:p>
    <w:p>
      <w:pPr>
        <w:pStyle w:val="Normal"/>
        <w:ind w:left="0" w:right="0" w:firstLine="708"/>
        <w:jc w:val="both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18-404 Łomża</w:t>
      </w:r>
    </w:p>
    <w:p>
      <w:pPr>
        <w:pStyle w:val="Normal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60" w:right="0" w:hanging="0"/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ze skutkiem uznania ich za doręczone (chyba że Strona zawiadomi na piśmie, którego odbiór potwierdzi druga Strona, o zmianie adresu wskazanego dla doręczenia korespondencji).</w:t>
      </w:r>
    </w:p>
    <w:p>
      <w:pPr>
        <w:pStyle w:val="Normal"/>
        <w:numPr>
          <w:ilvl w:val="0"/>
          <w:numId w:val="10"/>
        </w:numPr>
        <w:jc w:val="both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Wszelkie spory mogące powstać w przyszłości w wyniku stosowania niniejszej Umowy, Strony poddają pod rozstrzygnięcie sądowi powszechnemu właściwemu miejscowo ze względu na siedzibę Kupującego.</w:t>
      </w:r>
    </w:p>
    <w:p>
      <w:pPr>
        <w:pStyle w:val="Normal"/>
        <w:numPr>
          <w:ilvl w:val="0"/>
          <w:numId w:val="10"/>
        </w:numPr>
        <w:jc w:val="both"/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Niniejszą umowę w 3 (trzech) jednobrzmiących egzemplarzach, z czego dwa otrzymuje </w:t>
      </w:r>
      <w:r>
        <w:rPr>
          <w:rFonts w:cs="Arial" w:ascii="Arial" w:hAnsi="Arial"/>
          <w:b/>
          <w:bCs/>
          <w:sz w:val="20"/>
          <w:szCs w:val="20"/>
        </w:rPr>
        <w:t>Kupujący</w:t>
      </w:r>
      <w:r>
        <w:rPr>
          <w:rFonts w:cs="Arial" w:ascii="Arial" w:hAnsi="Arial"/>
          <w:sz w:val="20"/>
          <w:szCs w:val="20"/>
        </w:rPr>
        <w:t xml:space="preserve">, a jeden </w:t>
      </w:r>
      <w:r>
        <w:rPr>
          <w:rFonts w:cs="Arial" w:ascii="Arial" w:hAnsi="Arial"/>
          <w:b/>
          <w:bCs/>
          <w:sz w:val="20"/>
          <w:szCs w:val="20"/>
        </w:rPr>
        <w:t>Sprzedawca.</w:t>
      </w:r>
    </w:p>
    <w:p>
      <w:pPr>
        <w:pStyle w:val="Normal"/>
        <w:numPr>
          <w:ilvl w:val="0"/>
          <w:numId w:val="10"/>
        </w:numPr>
        <w:shd w:fill="FFFFFF" w:val="clear"/>
        <w:jc w:val="both"/>
        <w:rPr>
          <w:rFonts w:cs="Arial" w:ascii="Arial" w:hAnsi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</w:rPr>
        <w:t>I</w:t>
      </w:r>
      <w:r>
        <w:rPr>
          <w:rFonts w:cs="Arial" w:ascii="Arial" w:hAnsi="Arial"/>
          <w:sz w:val="20"/>
          <w:szCs w:val="20"/>
          <w:shd w:fill="FFFFFF" w:val="clear"/>
        </w:rPr>
        <w:t>ntegralną część Umowy stanowią następujące załączniki w niej wymienione tj.:</w:t>
      </w:r>
    </w:p>
    <w:p>
      <w:pPr>
        <w:pStyle w:val="Normal"/>
        <w:ind w:left="397" w:right="0" w:hanging="0"/>
        <w:jc w:val="both"/>
        <w:rPr>
          <w:rFonts w:cs="Times New Roman"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 xml:space="preserve">a) Załącznik nr 1 </w:t>
      </w:r>
      <w:bookmarkStart w:id="5" w:name="__DdeLink__280_366307727"/>
      <w:r>
        <w:rPr>
          <w:rFonts w:cs="Times New Roman" w:ascii="Arial" w:hAnsi="Arial"/>
          <w:sz w:val="20"/>
          <w:szCs w:val="20"/>
        </w:rPr>
        <w:t>–</w:t>
      </w:r>
      <w:bookmarkEnd w:id="5"/>
      <w:r>
        <w:rPr>
          <w:rFonts w:cs="Times New Roman" w:ascii="Arial" w:hAnsi="Arial"/>
          <w:sz w:val="20"/>
          <w:szCs w:val="20"/>
        </w:rPr>
        <w:t xml:space="preserve"> Zestawienie asortymentowo - ilościowe </w:t>
      </w:r>
    </w:p>
    <w:p>
      <w:pPr>
        <w:pStyle w:val="Normal"/>
        <w:ind w:left="397" w:right="0" w:hanging="0"/>
        <w:jc w:val="both"/>
        <w:rPr>
          <w:rFonts w:cs="Times New Roman"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b) Załącznik nr 2 – Formularz ofertowy Wykonawcy</w:t>
      </w:r>
    </w:p>
    <w:p>
      <w:pPr>
        <w:pStyle w:val="Normal"/>
        <w:ind w:left="397" w:right="0" w:hanging="0"/>
        <w:jc w:val="both"/>
        <w:rPr>
          <w:rFonts w:cs="Times New Roman"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c) Załącznik nr 3 – Opis przedmiotu zamówienia</w:t>
      </w:r>
    </w:p>
    <w:p>
      <w:pPr>
        <w:pStyle w:val="Normal"/>
        <w:ind w:left="397" w:right="0" w:hanging="0"/>
        <w:jc w:val="both"/>
        <w:rPr>
          <w:rFonts w:cs="Times New Roman"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d) Załącznik nr 4 – Umowa regulująca współpracę wykonawców wspólnie ubiegających się o udzielenie zamówienia, jeżeli oferta tych wykonawców zostanie wybrana**</w:t>
      </w:r>
    </w:p>
    <w:p>
      <w:pPr>
        <w:pStyle w:val="Normal"/>
        <w:ind w:left="397" w:right="0" w:hanging="0"/>
        <w:jc w:val="both"/>
        <w:rPr>
          <w:rFonts w:cs="Times New Roman"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e) Załącznik nr 5 – Odpis KRS Kupującego</w:t>
      </w:r>
    </w:p>
    <w:p>
      <w:pPr>
        <w:pStyle w:val="Normal"/>
        <w:ind w:left="397" w:right="0" w:hanging="0"/>
        <w:jc w:val="both"/>
        <w:rPr>
          <w:rFonts w:cs="Times New Roman" w:ascii="Arial" w:hAnsi="Arial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f) Załącznik nr 6 – Dokument wykazujący umocowanie do zawarcia umowy ze strony Sprzedawcy.</w:t>
      </w:r>
    </w:p>
    <w:p>
      <w:pPr>
        <w:pStyle w:val="Normal"/>
        <w:jc w:val="both"/>
        <w:rPr>
          <w:rFonts w:cs="Arial" w:ascii="Arial" w:hAnsi="Arial"/>
          <w:i/>
          <w:sz w:val="20"/>
          <w:szCs w:val="20"/>
          <w:shd w:fill="FFFFFF" w:val="clear"/>
        </w:rPr>
      </w:pPr>
      <w:r>
        <w:rPr>
          <w:rFonts w:cs="Arial" w:ascii="Arial" w:hAnsi="Arial"/>
          <w:i/>
          <w:sz w:val="20"/>
          <w:szCs w:val="20"/>
          <w:shd w:fill="FFFFFF" w:val="clear"/>
        </w:rPr>
        <w:t>**     -  jeżeli dotyczy</w:t>
      </w:r>
    </w:p>
    <w:p>
      <w:pPr>
        <w:pStyle w:val="Normal"/>
        <w:shd w:fill="FFFFFF" w:val="clear"/>
        <w:tabs>
          <w:tab w:val="left" w:pos="708" w:leader="none"/>
        </w:tabs>
        <w:ind w:left="360" w:right="0" w:hanging="0"/>
        <w:rPr>
          <w:rFonts w:cs="Arial" w:ascii="Arial" w:hAnsi="Arial"/>
          <w:sz w:val="20"/>
          <w:szCs w:val="20"/>
          <w:shd w:fill="FFFFFF" w:val="clear"/>
        </w:rPr>
      </w:pPr>
      <w:r>
        <w:rPr>
          <w:rFonts w:cs="Arial" w:ascii="Arial" w:hAnsi="Arial"/>
          <w:sz w:val="20"/>
          <w:szCs w:val="20"/>
          <w:shd w:fill="FFFFFF" w:val="clear"/>
        </w:rPr>
      </w:r>
    </w:p>
    <w:p>
      <w:pPr>
        <w:pStyle w:val="Normal"/>
        <w:tabs>
          <w:tab w:val="left" w:pos="708" w:leader="none"/>
        </w:tabs>
        <w:ind w:left="360" w:right="0" w:hanging="0"/>
        <w:rPr>
          <w:rFonts w:cs="Arial" w:ascii="Arial" w:hAnsi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left" w:pos="708" w:leader="none"/>
        </w:tabs>
        <w:outlineLvl w:val="0"/>
        <w:rPr>
          <w:rFonts w:cs="Arial" w:ascii="Arial" w:hAnsi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SPRZEDAWCA:                                                                                                                 KUPUJĄCY:</w:t>
      </w:r>
    </w:p>
    <w:p>
      <w:pPr>
        <w:pStyle w:val="Normal"/>
        <w:tabs>
          <w:tab w:val="left" w:pos="708" w:leader="none"/>
        </w:tabs>
        <w:rPr>
          <w:rFonts w:cs="Arial" w:ascii="Arial" w:hAnsi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tabs>
          <w:tab w:val="left" w:pos="708" w:leader="none"/>
        </w:tabs>
        <w:rPr>
          <w:rFonts w:cs="Arial" w:ascii="Arial" w:hAnsi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left" w:pos="708" w:leader="none"/>
        </w:tabs>
        <w:rPr>
          <w:rFonts w:cs="Arial" w:ascii="Arial" w:hAnsi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</w:r>
    </w:p>
    <w:p>
      <w:pPr>
        <w:pStyle w:val="Normal"/>
        <w:tabs>
          <w:tab w:val="left" w:pos="708" w:leader="none"/>
        </w:tabs>
        <w:rPr>
          <w:rFonts w:cs="Arial" w:ascii="Arial" w:hAnsi="Arial"/>
          <w:b/>
          <w:bCs/>
          <w:iCs/>
          <w:sz w:val="20"/>
          <w:szCs w:val="20"/>
        </w:rPr>
      </w:pPr>
      <w:r>
        <w:rPr>
          <w:rFonts w:cs="Arial" w:ascii="Arial" w:hAnsi="Arial"/>
          <w:b/>
          <w:bCs/>
          <w:iCs/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72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color w:val="000000"/>
        <w:sz w:val="20"/>
        <w:b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false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"/>
      <w:lvlJc w:val="left"/>
      <w:pPr>
        <w:ind w:left="501" w:hanging="360"/>
      </w:pPr>
      <w:rPr>
        <w:sz w:val="20"/>
        <w:b/>
        <w:szCs w:val="20"/>
        <w:iCs/>
      </w:rPr>
    </w:lvl>
    <w:lvl w:ilvl="1">
      <w:start w:val="1"/>
      <w:numFmt w:val="decimal"/>
      <w:lvlText w:val="%2"/>
      <w:lvlJc w:val="left"/>
      <w:pPr>
        <w:ind w:left="424" w:hanging="360"/>
      </w:pPr>
      <w:rPr>
        <w:b w:val="false"/>
      </w:rPr>
    </w:lvl>
    <w:lvl w:ilvl="2">
      <w:start w:val="1"/>
      <w:numFmt w:val="decimal"/>
      <w:lvlText w:val="%3"/>
      <w:lvlJc w:val="left"/>
      <w:pPr>
        <w:ind w:left="1221" w:hanging="360"/>
      </w:pPr>
    </w:lvl>
    <w:lvl w:ilvl="3">
      <w:start w:val="1"/>
      <w:numFmt w:val="decimal"/>
      <w:lvlText w:val="%4"/>
      <w:lvlJc w:val="left"/>
      <w:pPr>
        <w:ind w:left="1581" w:hanging="360"/>
      </w:pPr>
    </w:lvl>
    <w:lvl w:ilvl="4">
      <w:start w:val="1"/>
      <w:numFmt w:val="decimal"/>
      <w:lvlText w:val="%5"/>
      <w:lvlJc w:val="left"/>
      <w:pPr>
        <w:ind w:left="1941" w:hanging="360"/>
      </w:pPr>
    </w:lvl>
    <w:lvl w:ilvl="5">
      <w:start w:val="1"/>
      <w:numFmt w:val="decimal"/>
      <w:lvlText w:val="%6"/>
      <w:lvlJc w:val="left"/>
      <w:pPr>
        <w:ind w:left="2301" w:hanging="360"/>
      </w:pPr>
    </w:lvl>
    <w:lvl w:ilvl="6">
      <w:start w:val="1"/>
      <w:numFmt w:val="decimal"/>
      <w:lvlText w:val="%7"/>
      <w:lvlJc w:val="left"/>
      <w:pPr>
        <w:ind w:left="2661" w:hanging="360"/>
      </w:pPr>
    </w:lvl>
    <w:lvl w:ilvl="7">
      <w:start w:val="1"/>
      <w:numFmt w:val="decimal"/>
      <w:lvlText w:val="%8"/>
      <w:lvlJc w:val="left"/>
      <w:pPr>
        <w:ind w:left="3021" w:hanging="360"/>
      </w:pPr>
    </w:lvl>
    <w:lvl w:ilvl="8">
      <w:start w:val="1"/>
      <w:numFmt w:val="decimal"/>
      <w:lvlText w:val="%9"/>
      <w:lvlJc w:val="left"/>
      <w:pPr>
        <w:ind w:left="3381" w:hanging="36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color w:val="000000"/>
        <w:sz w:val="20"/>
        <w:b/>
        <w:szCs w:val="20"/>
      </w:rPr>
    </w:lvl>
    <w:lvl w:ilvl="1">
      <w:start w:val="1"/>
      <w:numFmt w:val="lowerRoman"/>
      <w:lvlText w:val="%2."/>
      <w:lvlJc w:val="right"/>
      <w:pPr>
        <w:ind w:left="1494" w:hanging="360"/>
      </w:pPr>
      <w:rPr>
        <w:color w:val="000000"/>
        <w:sz w:val="20"/>
        <w:b/>
        <w:szCs w:val="20"/>
      </w:rPr>
    </w:lvl>
    <w:lvl w:ilvl="2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b w:val="false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color w:val="000000"/>
        <w:sz w:val="20"/>
        <w:b/>
        <w:szCs w:val="20"/>
      </w:rPr>
    </w:lvl>
    <w:lvl w:ilvl="4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color w:val="000000"/>
        <w:sz w:val="20"/>
        <w:b/>
        <w:szCs w:val="20"/>
      </w:rPr>
    </w:lvl>
    <w:lvl w:ilvl="2">
      <w:start w:val="1"/>
      <w:numFmt w:val="lowerRoman"/>
      <w:lvlText w:val="%3."/>
      <w:lvlJc w:val="left"/>
      <w:pPr>
        <w:ind w:left="1314" w:hanging="180"/>
      </w:pPr>
      <w:rPr>
        <w:color w:val="000000"/>
        <w:sz w:val="20"/>
        <w:b/>
        <w:szCs w:val="20"/>
      </w:rPr>
    </w:lvl>
    <w:lvl w:ilvl="3">
      <w:start w:val="1"/>
      <w:numFmt w:val="decimal"/>
      <w:lvlText w:val="%4."/>
      <w:lvlJc w:val="left"/>
      <w:pPr>
        <w:ind w:left="2520" w:hanging="360"/>
      </w:pPr>
      <w:rPr>
        <w:color w:val="000000"/>
        <w:sz w:val="20"/>
        <w:b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6">
    <w:lvl w:ilvl="0">
      <w:start w:val="1"/>
      <w:numFmt w:val="decimal"/>
      <w:lvlText w:val=""/>
      <w:lvlJc w:val="left"/>
      <w:pPr>
        <w:ind w:left="36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"/>
      <w:lvlJc w:val="left"/>
      <w:pPr>
        <w:ind w:left="786" w:hanging="360"/>
      </w:pPr>
      <w:rPr>
        <w:color w:val="000000"/>
        <w:sz w:val="20"/>
        <w:b/>
        <w:szCs w:val="20"/>
      </w:rPr>
    </w:lvl>
    <w:lvl w:ilvl="2">
      <w:start w:val="1"/>
      <w:numFmt w:val="lowerRoman"/>
      <w:lvlText w:val="%3"/>
      <w:lvlJc w:val="left"/>
      <w:pPr>
        <w:ind w:left="1800" w:hanging="180"/>
      </w:pPr>
    </w:lvl>
    <w:lvl w:ilvl="3">
      <w:start w:val="1"/>
      <w:numFmt w:val="decimal"/>
      <w:lvlText w:val="%4"/>
      <w:lvlJc w:val="left"/>
      <w:pPr>
        <w:ind w:left="360" w:hanging="360"/>
      </w:pPr>
      <w:rPr>
        <w:color w:val="000000"/>
        <w:sz w:val="20"/>
        <w:b/>
        <w:szCs w:val="20"/>
      </w:rPr>
    </w:lvl>
    <w:lvl w:ilvl="4">
      <w:start w:val="1"/>
      <w:numFmt w:val="lowerLetter"/>
      <w:lvlText w:val="%5"/>
      <w:lvlJc w:val="left"/>
      <w:pPr>
        <w:ind w:left="927" w:hanging="360"/>
      </w:pPr>
      <w:rPr>
        <w:color w:val="000000"/>
        <w:sz w:val="20"/>
        <w:b/>
        <w:szCs w:val="20"/>
      </w:rPr>
    </w:lvl>
    <w:lvl w:ilvl="5">
      <w:start w:val="1"/>
      <w:numFmt w:val="lowerRoman"/>
      <w:lvlText w:val="%6"/>
      <w:lvlJc w:val="lef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left"/>
      <w:pPr>
        <w:ind w:left="6120" w:hanging="180"/>
      </w:pPr>
    </w:lvl>
  </w:abstractNum>
  <w:abstractNum w:abstractNumId="7">
    <w:lvl w:ilvl="0">
      <w:start w:val="1"/>
      <w:numFmt w:val="decimal"/>
      <w:lvlText w:val=""/>
      <w:lvlJc w:val="left"/>
      <w:pPr>
        <w:ind w:left="36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8">
    <w:lvl w:ilvl="0">
      <w:start w:val="1"/>
      <w:numFmt w:val="decimal"/>
      <w:lvlText w:val=""/>
      <w:lvlJc w:val="left"/>
      <w:pPr>
        <w:ind w:left="36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"/>
      <w:lvlJc w:val="left"/>
      <w:pPr>
        <w:ind w:left="785" w:hanging="360"/>
      </w:pPr>
      <w:rPr>
        <w:color w:val="000000"/>
        <w:sz w:val="20"/>
        <w:b/>
        <w:szCs w:val="20"/>
      </w:rPr>
    </w:lvl>
    <w:lvl w:ilvl="2">
      <w:start w:val="1"/>
      <w:numFmt w:val="lowerRoman"/>
      <w:lvlText w:val="%3"/>
      <w:lvlJc w:val="lef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lef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left"/>
      <w:pPr>
        <w:ind w:left="6120" w:hanging="180"/>
      </w:pPr>
    </w:lvl>
  </w:abstractNum>
  <w:abstractNum w:abstractNumId="9"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501" w:hanging="360"/>
      </w:pPr>
      <w:rPr>
        <w:color w:val="000000"/>
        <w:sz w:val="20"/>
        <w:b/>
        <w:szCs w:val="20"/>
      </w:r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786" w:hanging="360"/>
      </w:pPr>
      <w:rPr>
        <w:color w:val="000000"/>
        <w:sz w:val="20"/>
        <w:b/>
        <w:szCs w:val="20"/>
      </w:rPr>
    </w:lvl>
    <w:lvl w:ilvl="2">
      <w:start w:val="1"/>
      <w:numFmt w:val="lowerRoman"/>
      <w:lvlText w:val="%3"/>
      <w:lvlJc w:val="lef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lef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left"/>
      <w:pPr>
        <w:ind w:left="612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color w:val="000000"/>
        <w:sz w:val="20"/>
        <w:b/>
        <w:szCs w:val="20"/>
      </w:rPr>
    </w:lvl>
    <w:lvl w:ilvl="2">
      <w:start w:val="1"/>
      <w:numFmt w:val="lowerRoman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color w:val="000000"/>
        <w:sz w:val="20"/>
        <w:b/>
        <w:szCs w:val="2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180"/>
      </w:pPr>
    </w:lvl>
  </w:abstractNum>
  <w:abstractNum w:abstractNumId="12">
    <w:lvl w:ilvl="0">
      <w:start w:val="1"/>
      <w:numFmt w:val="lowerLetter"/>
      <w:lvlText w:val="%1)"/>
      <w:lvlJc w:val="left"/>
      <w:pPr>
        <w:ind w:left="927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lvl w:ilvl="0">
      <w:start w:val="1"/>
      <w:numFmt w:val="lowerRoman"/>
      <w:lvlText w:val="%1."/>
      <w:lvlJc w:val="right"/>
      <w:pPr>
        <w:ind w:left="1494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lvl w:ilvl="0">
      <w:start w:val="1"/>
      <w:numFmt w:val="lowerLetter"/>
      <w:lvlText w:val="%1)"/>
      <w:lvlJc w:val="left"/>
      <w:pPr>
        <w:ind w:left="927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0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color w:val="000000"/>
        <w:sz w:val="20"/>
        <w:b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false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0"/>
        <w:b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i w:val="false"/>
        <w:b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1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4"/>
        <w:szCs w:val="24"/>
        <w:lang w:val="pl-PL" w:eastAsia="en-US" w:bidi="ar-SA"/>
      </w:rPr>
    </w:rPrDefault>
    <w:pPrDefault>
      <w:pPr/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261692"/>
    <w:pPr>
      <w:widowControl w:val="false"/>
      <w:suppressAutoHyphens w:val="true"/>
      <w:bidi w:val="0"/>
      <w:jc w:val="left"/>
    </w:pPr>
    <w:rPr>
      <w:rFonts w:ascii="Liberation Serif" w:hAnsi="Liberation Serif" w:cs="Mangal" w:eastAsia="SimSun"/>
      <w:color w:val="00000A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unhideWhenUsed/>
    <w:rPr/>
  </w:style>
  <w:style w:type="character" w:styleId="Annotationreference">
    <w:name w:val="annotation reference"/>
    <w:uiPriority w:val="99"/>
    <w:semiHidden/>
    <w:unhideWhenUsed/>
    <w:rsid w:val="00cc663b"/>
    <w:basedOn w:val="DefaultParagraphFont"/>
    <w:rPr>
      <w:sz w:val="16"/>
      <w:szCs w:val="16"/>
    </w:rPr>
  </w:style>
  <w:style w:type="character" w:styleId="TekstkomentarzaZnak" w:customStyle="1">
    <w:name w:val="Tekst komentarza Znak"/>
    <w:uiPriority w:val="99"/>
    <w:semiHidden/>
    <w:link w:val="Tekstkomentarza"/>
    <w:rsid w:val="00cc663b"/>
    <w:basedOn w:val="DefaultParagraphFont"/>
    <w:rPr>
      <w:rFonts w:ascii="Liberation Serif" w:hAnsi="Liberation Serif" w:eastAsia="SimSun" w:cs="Mangal"/>
      <w:sz w:val="20"/>
      <w:szCs w:val="18"/>
      <w:lang w:eastAsia="zh-CN" w:bidi="hi-IN"/>
    </w:rPr>
  </w:style>
  <w:style w:type="character" w:styleId="TematkomentarzaZnak" w:customStyle="1">
    <w:name w:val="Temat komentarza Znak"/>
    <w:uiPriority w:val="99"/>
    <w:semiHidden/>
    <w:link w:val="Tematkomentarza"/>
    <w:rsid w:val="00cc663b"/>
    <w:basedOn w:val="TekstkomentarzaZnak"/>
    <w:rPr>
      <w:rFonts w:ascii="Liberation Serif" w:hAnsi="Liberation Serif" w:eastAsia="SimSun" w:cs="Mangal"/>
      <w:b/>
      <w:bCs/>
      <w:sz w:val="20"/>
      <w:szCs w:val="18"/>
      <w:lang w:eastAsia="zh-CN" w:bidi="hi-IN"/>
    </w:rPr>
  </w:style>
  <w:style w:type="character" w:styleId="TekstdymkaZnak" w:customStyle="1">
    <w:name w:val="Tekst dymka Znak"/>
    <w:uiPriority w:val="99"/>
    <w:semiHidden/>
    <w:link w:val="Tekstdymka"/>
    <w:rsid w:val="00cc663b"/>
    <w:basedOn w:val="DefaultParagraphFont"/>
    <w:rPr>
      <w:rFonts w:ascii="Times New Roman" w:hAnsi="Times New Roman" w:eastAsia="SimSun" w:cs="Mangal"/>
      <w:sz w:val="18"/>
      <w:szCs w:val="16"/>
      <w:lang w:eastAsia="zh-CN" w:bidi="hi-IN"/>
    </w:rPr>
  </w:style>
  <w:style w:type="character" w:styleId="Czeinternetowe">
    <w:name w:val="Łącze internetowe"/>
    <w:uiPriority w:val="99"/>
    <w:unhideWhenUsed/>
    <w:rsid w:val="00700943"/>
    <w:basedOn w:val="DefaultParagraphFont"/>
    <w:rPr>
      <w:color w:val="0563C1"/>
      <w:u w:val="single"/>
      <w:lang w:val="zxx" w:eastAsia="zxx" w:bidi="zxx"/>
    </w:rPr>
  </w:style>
  <w:style w:type="character" w:styleId="UnresolvedMention">
    <w:name w:val="Unresolved Mention"/>
    <w:uiPriority w:val="99"/>
    <w:semiHidden/>
    <w:unhideWhenUsed/>
    <w:rsid w:val="00931a0b"/>
    <w:basedOn w:val="DefaultParagraphFont"/>
    <w:rPr>
      <w:color w:val="605E5C"/>
      <w:shd w:fill="E1DFDD" w:val="clear"/>
    </w:rPr>
  </w:style>
  <w:style w:type="character" w:styleId="ListLabel1" w:customStyle="1">
    <w:name w:val="ListLabel 1"/>
    <w:rPr>
      <w:b/>
    </w:rPr>
  </w:style>
  <w:style w:type="character" w:styleId="ListLabel2" w:customStyle="1">
    <w:name w:val="ListLabel 2"/>
    <w:rPr>
      <w:rFonts w:cs="Arial"/>
      <w:b/>
      <w:sz w:val="20"/>
      <w:szCs w:val="20"/>
    </w:rPr>
  </w:style>
  <w:style w:type="character" w:styleId="ListLabel3" w:customStyle="1">
    <w:name w:val="ListLabel 3"/>
    <w:rPr>
      <w:b/>
      <w:i w:val="false"/>
    </w:rPr>
  </w:style>
  <w:style w:type="character" w:styleId="ListLabel4" w:customStyle="1">
    <w:name w:val="ListLabel 4"/>
    <w:rPr>
      <w:rFonts w:eastAsia="Lucida Sans Unicode" w:cs="Arial"/>
      <w:b/>
      <w:iCs/>
      <w:sz w:val="20"/>
      <w:szCs w:val="20"/>
    </w:rPr>
  </w:style>
  <w:style w:type="character" w:styleId="ListLabel5" w:customStyle="1">
    <w:name w:val="ListLabel 5"/>
    <w:rPr>
      <w:b w:val="false"/>
    </w:rPr>
  </w:style>
  <w:style w:type="character" w:styleId="ListLabel6" w:customStyle="1">
    <w:name w:val="ListLabel 6"/>
    <w:rPr>
      <w:b/>
    </w:rPr>
  </w:style>
  <w:style w:type="character" w:styleId="ListLabel7" w:customStyle="1">
    <w:name w:val="ListLabel 7"/>
    <w:rPr>
      <w:rFonts w:eastAsia="SimSun" w:cs="Arial"/>
      <w:b/>
    </w:rPr>
  </w:style>
  <w:style w:type="character" w:styleId="ListLabel8" w:customStyle="1">
    <w:name w:val="ListLabel 8"/>
    <w:rPr>
      <w:b/>
      <w:bCs/>
      <w:sz w:val="20"/>
      <w:szCs w:val="20"/>
    </w:rPr>
  </w:style>
  <w:style w:type="character" w:styleId="ListLabel9" w:customStyle="1">
    <w:name w:val="ListLabel 9"/>
    <w:rPr>
      <w:rFonts w:cs="Arial"/>
      <w:b/>
      <w:sz w:val="22"/>
      <w:szCs w:val="20"/>
    </w:rPr>
  </w:style>
  <w:style w:type="character" w:styleId="ListLabel10" w:customStyle="1">
    <w:name w:val="ListLabel 10"/>
    <w:rPr>
      <w:rFonts w:eastAsia="Lucida Sans Unicode" w:cs="Arial"/>
      <w:b/>
      <w:iCs/>
      <w:sz w:val="20"/>
      <w:szCs w:val="20"/>
      <w:lang w:eastAsia="zh-CN"/>
    </w:rPr>
  </w:style>
  <w:style w:type="character" w:styleId="ListLabel11" w:customStyle="1">
    <w:name w:val="ListLabel 11"/>
    <w:rPr>
      <w:b/>
    </w:rPr>
  </w:style>
  <w:style w:type="character" w:styleId="ListLabel12" w:customStyle="1">
    <w:name w:val="ListLabel 12"/>
    <w:rPr>
      <w:b/>
      <w:sz w:val="20"/>
      <w:szCs w:val="20"/>
    </w:rPr>
  </w:style>
  <w:style w:type="character" w:styleId="ListLabel13" w:customStyle="1">
    <w:name w:val="ListLabel 13"/>
    <w:rPr>
      <w:b/>
      <w:i w:val="false"/>
    </w:rPr>
  </w:style>
  <w:style w:type="character" w:styleId="ListLabel14" w:customStyle="1">
    <w:name w:val="ListLabel 14"/>
    <w:rPr>
      <w:b/>
      <w:iCs/>
      <w:sz w:val="20"/>
      <w:szCs w:val="20"/>
    </w:rPr>
  </w:style>
  <w:style w:type="character" w:styleId="ListLabel15" w:customStyle="1">
    <w:name w:val="ListLabel 15"/>
    <w:rPr>
      <w:b w:val="false"/>
    </w:rPr>
  </w:style>
  <w:style w:type="character" w:styleId="ListLabel16" w:customStyle="1">
    <w:name w:val="ListLabel 16"/>
    <w:rPr>
      <w:b/>
      <w:sz w:val="22"/>
      <w:szCs w:val="20"/>
    </w:rPr>
  </w:style>
  <w:style w:type="character" w:styleId="ListLabel17" w:customStyle="1">
    <w:name w:val="ListLabel 17"/>
    <w:rPr>
      <w:b/>
    </w:rPr>
  </w:style>
  <w:style w:type="character" w:styleId="ListLabel18" w:customStyle="1">
    <w:name w:val="ListLabel 18"/>
    <w:rPr>
      <w:b/>
      <w:sz w:val="20"/>
      <w:szCs w:val="20"/>
    </w:rPr>
  </w:style>
  <w:style w:type="character" w:styleId="ListLabel19" w:customStyle="1">
    <w:name w:val="ListLabel 19"/>
    <w:rPr>
      <w:b/>
      <w:i w:val="false"/>
    </w:rPr>
  </w:style>
  <w:style w:type="character" w:styleId="ListLabel20" w:customStyle="1">
    <w:name w:val="ListLabel 20"/>
    <w:rPr>
      <w:b/>
      <w:iCs/>
      <w:sz w:val="20"/>
      <w:szCs w:val="20"/>
    </w:rPr>
  </w:style>
  <w:style w:type="character" w:styleId="ListLabel21" w:customStyle="1">
    <w:name w:val="ListLabel 21"/>
    <w:rPr>
      <w:b w:val="false"/>
    </w:rPr>
  </w:style>
  <w:style w:type="character" w:styleId="ListLabel22" w:customStyle="1">
    <w:name w:val="ListLabel 22"/>
    <w:rPr>
      <w:b/>
      <w:sz w:val="22"/>
      <w:szCs w:val="20"/>
    </w:rPr>
  </w:style>
  <w:style w:type="character" w:styleId="ListLabel23" w:customStyle="1">
    <w:name w:val="ListLabel 23"/>
    <w:rPr>
      <w:b/>
      <w:sz w:val="20"/>
      <w:szCs w:val="20"/>
    </w:rPr>
  </w:style>
  <w:style w:type="character" w:styleId="ListLabel24" w:customStyle="1">
    <w:name w:val="ListLabel 24"/>
    <w:rPr>
      <w:b/>
      <w:sz w:val="20"/>
      <w:szCs w:val="20"/>
    </w:rPr>
  </w:style>
  <w:style w:type="character" w:styleId="ListLabel25" w:customStyle="1">
    <w:name w:val="ListLabel 25"/>
    <w:rPr>
      <w:b/>
      <w:i w:val="false"/>
    </w:rPr>
  </w:style>
  <w:style w:type="character" w:styleId="ListLabel26" w:customStyle="1">
    <w:name w:val="ListLabel 26"/>
    <w:rPr>
      <w:b/>
      <w:iCs/>
      <w:sz w:val="20"/>
      <w:szCs w:val="20"/>
    </w:rPr>
  </w:style>
  <w:style w:type="character" w:styleId="ListLabel27" w:customStyle="1">
    <w:name w:val="ListLabel 27"/>
    <w:rPr>
      <w:b w:val="false"/>
    </w:rPr>
  </w:style>
  <w:style w:type="character" w:styleId="ListLabel28" w:customStyle="1">
    <w:name w:val="ListLabel 28"/>
    <w:rPr>
      <w:b/>
      <w:sz w:val="22"/>
      <w:szCs w:val="20"/>
    </w:rPr>
  </w:style>
  <w:style w:type="character" w:styleId="ListLabel29" w:customStyle="1">
    <w:name w:val="ListLabel 29"/>
    <w:rPr>
      <w:b/>
      <w:sz w:val="20"/>
      <w:szCs w:val="20"/>
    </w:rPr>
  </w:style>
  <w:style w:type="character" w:styleId="ListLabel30" w:customStyle="1">
    <w:name w:val="ListLabel 30"/>
    <w:rPr>
      <w:b/>
      <w:i w:val="false"/>
    </w:rPr>
  </w:style>
  <w:style w:type="character" w:styleId="ListLabel31" w:customStyle="1">
    <w:name w:val="ListLabel 31"/>
    <w:rPr>
      <w:b/>
      <w:iCs/>
      <w:sz w:val="20"/>
      <w:szCs w:val="20"/>
    </w:rPr>
  </w:style>
  <w:style w:type="character" w:styleId="ListLabel32" w:customStyle="1">
    <w:name w:val="ListLabel 32"/>
    <w:rPr>
      <w:b w:val="false"/>
    </w:rPr>
  </w:style>
  <w:style w:type="character" w:styleId="ListLabel33" w:customStyle="1">
    <w:name w:val="ListLabel 33"/>
    <w:rPr>
      <w:b/>
      <w:sz w:val="22"/>
      <w:szCs w:val="20"/>
    </w:rPr>
  </w:style>
  <w:style w:type="character" w:styleId="ListLabel34" w:customStyle="1">
    <w:name w:val="ListLabel 34"/>
    <w:rPr>
      <w:b/>
      <w:color w:val="000000"/>
      <w:sz w:val="20"/>
      <w:szCs w:val="20"/>
    </w:rPr>
  </w:style>
  <w:style w:type="character" w:styleId="ListLabel35" w:customStyle="1">
    <w:name w:val="ListLabel 35"/>
    <w:rPr>
      <w:b/>
      <w:i w:val="false"/>
    </w:rPr>
  </w:style>
  <w:style w:type="character" w:styleId="ListLabel36" w:customStyle="1">
    <w:name w:val="ListLabel 36"/>
    <w:rPr>
      <w:b/>
      <w:iCs/>
      <w:sz w:val="20"/>
      <w:szCs w:val="20"/>
    </w:rPr>
  </w:style>
  <w:style w:type="character" w:styleId="ListLabel37" w:customStyle="1">
    <w:name w:val="ListLabel 37"/>
    <w:rPr>
      <w:b w:val="false"/>
    </w:rPr>
  </w:style>
  <w:style w:type="character" w:styleId="ListLabel38" w:customStyle="1">
    <w:name w:val="ListLabel 38"/>
    <w:rPr>
      <w:b/>
      <w:sz w:val="22"/>
      <w:szCs w:val="20"/>
    </w:rPr>
  </w:style>
  <w:style w:type="character" w:styleId="ListLabel39" w:customStyle="1">
    <w:name w:val="ListLabel 39"/>
    <w:rPr>
      <w:b/>
      <w:color w:val="000000"/>
      <w:sz w:val="20"/>
      <w:szCs w:val="20"/>
    </w:rPr>
  </w:style>
  <w:style w:type="character" w:styleId="ListLabel40" w:customStyle="1">
    <w:name w:val="ListLabel 40"/>
    <w:rPr>
      <w:b/>
      <w:i w:val="false"/>
    </w:rPr>
  </w:style>
  <w:style w:type="character" w:styleId="ListLabel41" w:customStyle="1">
    <w:name w:val="ListLabel 41"/>
    <w:rPr>
      <w:b/>
      <w:iCs/>
      <w:sz w:val="20"/>
      <w:szCs w:val="20"/>
    </w:rPr>
  </w:style>
  <w:style w:type="character" w:styleId="ListLabel42" w:customStyle="1">
    <w:name w:val="ListLabel 42"/>
    <w:rPr>
      <w:b w:val="false"/>
    </w:rPr>
  </w:style>
  <w:style w:type="character" w:styleId="ListLabel43" w:customStyle="1">
    <w:name w:val="ListLabel 43"/>
    <w:rPr>
      <w:b/>
      <w:sz w:val="22"/>
      <w:szCs w:val="20"/>
    </w:rPr>
  </w:style>
  <w:style w:type="character" w:styleId="ListLabel44" w:customStyle="1">
    <w:name w:val="ListLabel 44"/>
    <w:rPr>
      <w:b/>
      <w:color w:val="000000"/>
      <w:sz w:val="20"/>
      <w:szCs w:val="20"/>
    </w:rPr>
  </w:style>
  <w:style w:type="character" w:styleId="ListLabel45" w:customStyle="1">
    <w:name w:val="ListLabel 45"/>
    <w:rPr>
      <w:b/>
      <w:i w:val="false"/>
    </w:rPr>
  </w:style>
  <w:style w:type="character" w:styleId="ListLabel46" w:customStyle="1">
    <w:name w:val="ListLabel 46"/>
    <w:rPr>
      <w:b/>
      <w:iCs/>
      <w:sz w:val="20"/>
      <w:szCs w:val="20"/>
    </w:rPr>
  </w:style>
  <w:style w:type="character" w:styleId="ListLabel47" w:customStyle="1">
    <w:name w:val="ListLabel 47"/>
    <w:rPr>
      <w:b w:val="false"/>
    </w:rPr>
  </w:style>
  <w:style w:type="character" w:styleId="ListLabel48" w:customStyle="1">
    <w:name w:val="ListLabel 48"/>
    <w:rPr>
      <w:b/>
      <w:sz w:val="22"/>
      <w:szCs w:val="20"/>
    </w:rPr>
  </w:style>
  <w:style w:type="character" w:styleId="ListLabel49">
    <w:name w:val="ListLabel 49"/>
    <w:rPr>
      <w:b/>
      <w:color w:val="000000"/>
      <w:sz w:val="20"/>
      <w:szCs w:val="20"/>
    </w:rPr>
  </w:style>
  <w:style w:type="character" w:styleId="ListLabel50">
    <w:name w:val="ListLabel 50"/>
    <w:rPr>
      <w:b/>
      <w:i w:val="false"/>
    </w:rPr>
  </w:style>
  <w:style w:type="character" w:styleId="ListLabel51">
    <w:name w:val="ListLabel 51"/>
    <w:rPr>
      <w:b/>
      <w:iCs/>
      <w:sz w:val="20"/>
      <w:szCs w:val="20"/>
    </w:rPr>
  </w:style>
  <w:style w:type="character" w:styleId="ListLabel52">
    <w:name w:val="ListLabel 52"/>
    <w:rPr>
      <w:b w:val="false"/>
    </w:rPr>
  </w:style>
  <w:style w:type="character" w:styleId="ListLabel53">
    <w:name w:val="ListLabel 53"/>
    <w:rPr>
      <w:b/>
      <w:sz w:val="22"/>
      <w:szCs w:val="20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pPr>
      <w:suppressLineNumbers/>
    </w:pPr>
    <w:rPr>
      <w:rFonts w:cs="Mangal"/>
    </w:rPr>
  </w:style>
  <w:style w:type="paragraph" w:styleId="Gwka" w:customStyle="1">
    <w:name w:val="Główka"/>
    <w:basedOn w:val="Normal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ygnatura" w:customStyle="1">
    <w:name w:val="Sygnatura"/>
    <w:basedOn w:val="Normal"/>
    <w:pPr>
      <w:suppressLineNumbers/>
      <w:spacing w:before="120" w:after="120"/>
    </w:pPr>
    <w:rPr>
      <w:i/>
      <w:iCs/>
    </w:rPr>
  </w:style>
  <w:style w:type="paragraph" w:styleId="Annotationtext">
    <w:name w:val="annotation text"/>
    <w:uiPriority w:val="99"/>
    <w:semiHidden/>
    <w:unhideWhenUsed/>
    <w:link w:val="TekstkomentarzaZnak"/>
    <w:rsid w:val="00cc663b"/>
    <w:basedOn w:val="Normal"/>
    <w:pPr/>
    <w:rPr>
      <w:sz w:val="20"/>
      <w:szCs w:val="18"/>
    </w:rPr>
  </w:style>
  <w:style w:type="paragraph" w:styleId="Annotationsubject">
    <w:name w:val="annotation subject"/>
    <w:uiPriority w:val="99"/>
    <w:semiHidden/>
    <w:unhideWhenUsed/>
    <w:link w:val="TematkomentarzaZnak"/>
    <w:rsid w:val="00cc663b"/>
    <w:basedOn w:val="Annotationtext"/>
    <w:pPr/>
    <w:rPr>
      <w:b/>
      <w:bCs/>
    </w:rPr>
  </w:style>
  <w:style w:type="paragraph" w:styleId="BalloonText">
    <w:name w:val="Balloon Text"/>
    <w:uiPriority w:val="99"/>
    <w:semiHidden/>
    <w:unhideWhenUsed/>
    <w:link w:val="TekstdymkaZnak"/>
    <w:rsid w:val="00cc663b"/>
    <w:basedOn w:val="Normal"/>
    <w:pPr/>
    <w:rPr>
      <w:rFonts w:ascii="Times New Roman" w:hAnsi="Times New Roman"/>
      <w:sz w:val="18"/>
      <w:szCs w:val="16"/>
    </w:rPr>
  </w:style>
  <w:style w:type="paragraph" w:styleId="ListParagraph">
    <w:name w:val="List Paragraph"/>
    <w:uiPriority w:val="34"/>
    <w:qFormat/>
    <w:rsid w:val="00e83e04"/>
    <w:basedOn w:val="Normal"/>
    <w:pPr>
      <w:spacing w:before="0" w:after="0"/>
      <w:ind w:left="720" w:right="0" w:hanging="0"/>
      <w:contextualSpacing/>
    </w:pPr>
    <w:rPr>
      <w:szCs w:val="21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2018-10-05T08:12:00Z</dcterms:created>
  <dc:creator>Wojciech Sobejko</dc:creator>
  <dc:language>pl-PL</dc:language>
  <cp:lastModifiedBy>Wojciech Sobejko</cp:lastModifiedBy>
  <cp:lastPrinted>2019-01-09T14:28:44Z</cp:lastPrinted>
  <dcterms:modified xsi:type="dcterms:W3CDTF">2019-01-09T13:25:00Z</dcterms:modified>
  <cp:revision>20</cp:revision>
</cp:coreProperties>
</file>